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DE511">
      <w:pPr>
        <w:spacing w:line="360" w:lineRule="auto"/>
        <w:ind w:right="120"/>
        <w:rPr>
          <w:b/>
          <w:sz w:val="24"/>
        </w:rPr>
      </w:pPr>
      <w:r>
        <w:rPr>
          <w:rFonts w:hint="eastAsia"/>
          <w:b/>
          <w:sz w:val="24"/>
        </w:rPr>
        <w:t>附件</w:t>
      </w:r>
      <w:r>
        <w:rPr>
          <w:b/>
          <w:sz w:val="24"/>
        </w:rPr>
        <w:t>2</w:t>
      </w:r>
    </w:p>
    <w:p w14:paraId="3C9B02F5">
      <w:pPr>
        <w:spacing w:line="360" w:lineRule="auto"/>
        <w:ind w:right="120"/>
        <w:jc w:val="center"/>
        <w:rPr>
          <w:rFonts w:ascii="华文中宋" w:hAnsi="华文中宋" w:eastAsia="华文中宋"/>
          <w:b/>
          <w:sz w:val="32"/>
          <w:szCs w:val="32"/>
        </w:rPr>
      </w:pPr>
      <w:r>
        <w:rPr>
          <w:rFonts w:hint="eastAsia" w:ascii="华文中宋" w:hAnsi="华文中宋" w:eastAsia="华文中宋"/>
          <w:b/>
          <w:sz w:val="32"/>
          <w:szCs w:val="32"/>
        </w:rPr>
        <w:t>政治与国际关系学院推荐免试直升</w:t>
      </w:r>
      <w:r>
        <w:rPr>
          <w:rFonts w:ascii="华文中宋" w:hAnsi="华文中宋" w:eastAsia="华文中宋"/>
          <w:b/>
          <w:sz w:val="32"/>
          <w:szCs w:val="32"/>
        </w:rPr>
        <w:t>202</w:t>
      </w:r>
      <w:r>
        <w:rPr>
          <w:rFonts w:hint="eastAsia" w:ascii="华文中宋" w:hAnsi="华文中宋" w:eastAsia="华文中宋"/>
          <w:b/>
          <w:sz w:val="32"/>
          <w:szCs w:val="32"/>
        </w:rPr>
        <w:t>6年研究生素质类得分</w:t>
      </w:r>
      <w:r>
        <w:rPr>
          <w:rFonts w:ascii="华文中宋" w:hAnsi="华文中宋" w:eastAsia="华文中宋"/>
          <w:b/>
          <w:sz w:val="32"/>
          <w:szCs w:val="32"/>
        </w:rPr>
        <w:t>项</w:t>
      </w:r>
      <w:r>
        <w:rPr>
          <w:rFonts w:hint="eastAsia" w:ascii="华文中宋" w:hAnsi="华文中宋" w:eastAsia="华文中宋"/>
          <w:b/>
          <w:sz w:val="32"/>
          <w:szCs w:val="32"/>
        </w:rPr>
        <w:t xml:space="preserve">  </w:t>
      </w:r>
    </w:p>
    <w:p w14:paraId="740645E5">
      <w:pPr>
        <w:spacing w:line="360" w:lineRule="auto"/>
        <w:jc w:val="left"/>
        <w:rPr>
          <w:b/>
          <w:bCs/>
          <w:sz w:val="24"/>
        </w:rPr>
      </w:pPr>
    </w:p>
    <w:p w14:paraId="13A3516E">
      <w:pPr>
        <w:spacing w:line="360" w:lineRule="auto"/>
        <w:jc w:val="left"/>
        <w:rPr>
          <w:b/>
          <w:bCs/>
          <w:sz w:val="24"/>
        </w:rPr>
      </w:pPr>
      <w:r>
        <w:rPr>
          <w:rFonts w:hint="eastAsia"/>
          <w:b/>
          <w:bCs/>
          <w:sz w:val="24"/>
        </w:rPr>
        <w:t>一</w:t>
      </w:r>
      <w:r>
        <w:rPr>
          <w:b/>
          <w:bCs/>
          <w:sz w:val="24"/>
        </w:rPr>
        <w:t>、</w:t>
      </w:r>
      <w:r>
        <w:rPr>
          <w:rFonts w:hint="eastAsia"/>
          <w:b/>
          <w:bCs/>
          <w:sz w:val="24"/>
        </w:rPr>
        <w:t>院系</w:t>
      </w:r>
      <w:r>
        <w:rPr>
          <w:b/>
          <w:bCs/>
          <w:sz w:val="24"/>
        </w:rPr>
        <w:t>素质类加分项</w:t>
      </w:r>
    </w:p>
    <w:p w14:paraId="1C7D596D">
      <w:pPr>
        <w:spacing w:line="360" w:lineRule="auto"/>
        <w:jc w:val="left"/>
        <w:rPr>
          <w:b/>
          <w:bCs/>
          <w:sz w:val="24"/>
        </w:rPr>
      </w:pPr>
      <w:r>
        <w:rPr>
          <w:rFonts w:hint="eastAsia"/>
          <w:b/>
          <w:bCs/>
          <w:sz w:val="24"/>
        </w:rPr>
        <w:t>（一）科研成果</w:t>
      </w:r>
    </w:p>
    <w:tbl>
      <w:tblPr>
        <w:tblStyle w:val="8"/>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0"/>
        <w:gridCol w:w="2552"/>
      </w:tblGrid>
      <w:tr w14:paraId="399F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0" w:type="dxa"/>
            <w:vAlign w:val="center"/>
          </w:tcPr>
          <w:p w14:paraId="3C0A74B1">
            <w:pPr>
              <w:spacing w:line="360" w:lineRule="auto"/>
              <w:ind w:left="482"/>
              <w:jc w:val="center"/>
              <w:rPr>
                <w:b/>
                <w:sz w:val="22"/>
                <w:szCs w:val="22"/>
              </w:rPr>
            </w:pPr>
            <w:r>
              <w:rPr>
                <w:rFonts w:hint="eastAsia"/>
                <w:b/>
                <w:sz w:val="22"/>
                <w:szCs w:val="22"/>
              </w:rPr>
              <w:t>成果发表刊物</w:t>
            </w:r>
          </w:p>
        </w:tc>
        <w:tc>
          <w:tcPr>
            <w:tcW w:w="2552" w:type="dxa"/>
            <w:vAlign w:val="center"/>
          </w:tcPr>
          <w:p w14:paraId="5F9F5EE4">
            <w:pPr>
              <w:spacing w:line="360" w:lineRule="auto"/>
              <w:jc w:val="center"/>
              <w:rPr>
                <w:b/>
                <w:sz w:val="22"/>
                <w:szCs w:val="22"/>
              </w:rPr>
            </w:pPr>
            <w:r>
              <w:rPr>
                <w:rFonts w:hint="eastAsia"/>
                <w:b/>
                <w:sz w:val="22"/>
                <w:szCs w:val="22"/>
              </w:rPr>
              <w:t>分值</w:t>
            </w:r>
          </w:p>
        </w:tc>
      </w:tr>
      <w:tr w14:paraId="3316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0" w:type="dxa"/>
            <w:vAlign w:val="center"/>
          </w:tcPr>
          <w:p w14:paraId="03ECE5DB">
            <w:pPr>
              <w:spacing w:line="360" w:lineRule="auto"/>
              <w:jc w:val="center"/>
              <w:rPr>
                <w:color w:val="000000"/>
                <w:sz w:val="22"/>
                <w:szCs w:val="22"/>
              </w:rPr>
            </w:pPr>
            <w:r>
              <w:rPr>
                <w:rFonts w:hint="eastAsia"/>
                <w:color w:val="000000"/>
                <w:sz w:val="22"/>
                <w:szCs w:val="22"/>
              </w:rPr>
              <w:t>文科高水平论文期刊</w:t>
            </w:r>
          </w:p>
        </w:tc>
        <w:tc>
          <w:tcPr>
            <w:tcW w:w="2552" w:type="dxa"/>
            <w:vAlign w:val="center"/>
          </w:tcPr>
          <w:p w14:paraId="142957CF">
            <w:pPr>
              <w:spacing w:line="360" w:lineRule="auto"/>
              <w:jc w:val="center"/>
              <w:rPr>
                <w:color w:val="000000"/>
                <w:sz w:val="22"/>
                <w:szCs w:val="22"/>
              </w:rPr>
            </w:pPr>
            <w:r>
              <w:rPr>
                <w:color w:val="000000"/>
                <w:sz w:val="22"/>
                <w:szCs w:val="22"/>
              </w:rPr>
              <w:t>10</w:t>
            </w:r>
          </w:p>
        </w:tc>
      </w:tr>
      <w:tr w14:paraId="6A56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0" w:type="dxa"/>
            <w:vAlign w:val="center"/>
          </w:tcPr>
          <w:p w14:paraId="3E1D08A7">
            <w:pPr>
              <w:spacing w:line="360" w:lineRule="auto"/>
              <w:jc w:val="center"/>
              <w:rPr>
                <w:color w:val="000000"/>
                <w:sz w:val="22"/>
                <w:szCs w:val="22"/>
              </w:rPr>
            </w:pPr>
            <w:r>
              <w:rPr>
                <w:rFonts w:hint="eastAsia"/>
                <w:color w:val="000000"/>
                <w:sz w:val="22"/>
                <w:szCs w:val="22"/>
              </w:rPr>
              <w:t>CSSCI（含</w:t>
            </w:r>
            <w:r>
              <w:rPr>
                <w:rFonts w:hint="eastAsia" w:asciiTheme="minorEastAsia" w:hAnsiTheme="minorEastAsia"/>
                <w:sz w:val="22"/>
              </w:rPr>
              <w:t>扩展版和集刊）</w:t>
            </w:r>
          </w:p>
        </w:tc>
        <w:tc>
          <w:tcPr>
            <w:tcW w:w="2552" w:type="dxa"/>
            <w:vAlign w:val="center"/>
          </w:tcPr>
          <w:p w14:paraId="2F1BB8B9">
            <w:pPr>
              <w:spacing w:line="360" w:lineRule="auto"/>
              <w:jc w:val="center"/>
              <w:rPr>
                <w:color w:val="000000" w:themeColor="text1"/>
                <w:sz w:val="22"/>
                <w:szCs w:val="22"/>
              </w:rPr>
            </w:pPr>
            <w:r>
              <w:rPr>
                <w:rFonts w:hint="eastAsia"/>
                <w:color w:val="000000" w:themeColor="text1"/>
                <w:sz w:val="22"/>
                <w:szCs w:val="22"/>
              </w:rPr>
              <w:t>6</w:t>
            </w:r>
          </w:p>
        </w:tc>
      </w:tr>
      <w:tr w14:paraId="5801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0" w:type="dxa"/>
            <w:vAlign w:val="center"/>
          </w:tcPr>
          <w:p w14:paraId="268CF904">
            <w:pPr>
              <w:spacing w:line="360" w:lineRule="auto"/>
              <w:jc w:val="center"/>
              <w:rPr>
                <w:color w:val="000000"/>
                <w:sz w:val="22"/>
                <w:szCs w:val="22"/>
              </w:rPr>
            </w:pPr>
            <w:r>
              <w:rPr>
                <w:rFonts w:hint="eastAsia"/>
                <w:color w:val="000000"/>
                <w:sz w:val="22"/>
                <w:szCs w:val="22"/>
              </w:rPr>
              <w:t>北大核心</w:t>
            </w:r>
          </w:p>
        </w:tc>
        <w:tc>
          <w:tcPr>
            <w:tcW w:w="2552" w:type="dxa"/>
            <w:vAlign w:val="center"/>
          </w:tcPr>
          <w:p w14:paraId="131F403C">
            <w:pPr>
              <w:spacing w:line="360" w:lineRule="auto"/>
              <w:jc w:val="center"/>
              <w:rPr>
                <w:color w:val="000000" w:themeColor="text1"/>
                <w:sz w:val="22"/>
                <w:szCs w:val="22"/>
              </w:rPr>
            </w:pPr>
            <w:r>
              <w:rPr>
                <w:rFonts w:hint="eastAsia"/>
                <w:color w:val="000000" w:themeColor="text1"/>
                <w:sz w:val="22"/>
                <w:szCs w:val="22"/>
              </w:rPr>
              <w:t>4</w:t>
            </w:r>
          </w:p>
        </w:tc>
      </w:tr>
    </w:tbl>
    <w:p w14:paraId="2A39F959">
      <w:pPr>
        <w:spacing w:line="360" w:lineRule="auto"/>
        <w:jc w:val="left"/>
        <w:rPr>
          <w:b/>
          <w:bCs/>
          <w:sz w:val="24"/>
        </w:rPr>
      </w:pPr>
      <w:r>
        <w:rPr>
          <w:rFonts w:hint="eastAsia" w:ascii="楷体" w:hAnsi="楷体" w:eastAsia="楷体"/>
          <w:sz w:val="24"/>
        </w:rPr>
        <w:t>注</w:t>
      </w:r>
      <w:r>
        <w:rPr>
          <w:rFonts w:ascii="楷体" w:hAnsi="楷体" w:eastAsia="楷体"/>
          <w:sz w:val="24"/>
        </w:rPr>
        <w:t>：</w:t>
      </w:r>
      <w:r>
        <w:rPr>
          <w:rFonts w:hint="eastAsia" w:ascii="楷体" w:hAnsi="楷体" w:eastAsia="楷体"/>
          <w:sz w:val="24"/>
        </w:rPr>
        <w:t>原则上仅限本科阶段在上表所列刊物上以独立作者或第一作者已发表（见刊）的学业相关科研论文。实行代表作评价，上限不超过</w:t>
      </w:r>
      <w:r>
        <w:rPr>
          <w:sz w:val="22"/>
          <w:szCs w:val="22"/>
        </w:rPr>
        <w:t>10</w:t>
      </w:r>
      <w:r>
        <w:rPr>
          <w:rFonts w:hint="eastAsia" w:ascii="楷体" w:hAnsi="楷体" w:eastAsia="楷体"/>
          <w:sz w:val="24"/>
        </w:rPr>
        <w:t>分。</w:t>
      </w:r>
    </w:p>
    <w:p w14:paraId="029ABACC">
      <w:pPr>
        <w:spacing w:line="360" w:lineRule="auto"/>
        <w:jc w:val="left"/>
        <w:rPr>
          <w:b/>
          <w:bCs/>
          <w:sz w:val="24"/>
        </w:rPr>
      </w:pPr>
      <w:r>
        <w:rPr>
          <w:rFonts w:hint="eastAsia"/>
          <w:b/>
          <w:bCs/>
          <w:sz w:val="24"/>
        </w:rPr>
        <w:t>（二）学科竞赛</w:t>
      </w:r>
    </w:p>
    <w:tbl>
      <w:tblPr>
        <w:tblStyle w:val="8"/>
        <w:tblW w:w="8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826"/>
        <w:gridCol w:w="2669"/>
        <w:gridCol w:w="1797"/>
      </w:tblGrid>
      <w:tr w14:paraId="5BD3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14:paraId="40758A30">
            <w:pPr>
              <w:spacing w:line="360" w:lineRule="auto"/>
              <w:jc w:val="center"/>
              <w:rPr>
                <w:b/>
                <w:sz w:val="22"/>
                <w:szCs w:val="22"/>
              </w:rPr>
            </w:pPr>
            <w:r>
              <w:rPr>
                <w:rFonts w:hint="eastAsia"/>
                <w:b/>
                <w:sz w:val="22"/>
                <w:szCs w:val="22"/>
              </w:rPr>
              <w:t>项目名称</w:t>
            </w:r>
          </w:p>
        </w:tc>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14:paraId="50867631">
            <w:pPr>
              <w:spacing w:line="360" w:lineRule="auto"/>
              <w:jc w:val="center"/>
              <w:rPr>
                <w:b/>
                <w:sz w:val="22"/>
                <w:szCs w:val="22"/>
              </w:rPr>
            </w:pPr>
            <w:r>
              <w:rPr>
                <w:rFonts w:hint="eastAsia"/>
                <w:b/>
                <w:sz w:val="22"/>
                <w:szCs w:val="22"/>
              </w:rPr>
              <w:t>项目级别</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14:paraId="2CCCDB12">
            <w:pPr>
              <w:spacing w:line="360" w:lineRule="auto"/>
              <w:jc w:val="center"/>
              <w:rPr>
                <w:b/>
                <w:sz w:val="22"/>
                <w:szCs w:val="22"/>
              </w:rPr>
            </w:pPr>
            <w:r>
              <w:rPr>
                <w:rFonts w:hint="eastAsia"/>
                <w:b/>
                <w:sz w:val="22"/>
                <w:szCs w:val="22"/>
              </w:rPr>
              <w:t>获奖等级</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72066A55">
            <w:pPr>
              <w:spacing w:line="360" w:lineRule="auto"/>
              <w:jc w:val="center"/>
              <w:rPr>
                <w:b/>
                <w:sz w:val="22"/>
                <w:szCs w:val="22"/>
              </w:rPr>
            </w:pPr>
            <w:r>
              <w:rPr>
                <w:rFonts w:hint="eastAsia"/>
                <w:b/>
                <w:sz w:val="22"/>
                <w:szCs w:val="22"/>
              </w:rPr>
              <w:t>加分分值</w:t>
            </w:r>
          </w:p>
        </w:tc>
      </w:tr>
      <w:tr w14:paraId="719D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826" w:type="dxa"/>
            <w:vMerge w:val="restart"/>
            <w:tcBorders>
              <w:top w:val="single" w:color="auto" w:sz="4" w:space="0"/>
              <w:left w:val="single" w:color="auto" w:sz="4" w:space="0"/>
              <w:right w:val="single" w:color="auto" w:sz="4" w:space="0"/>
            </w:tcBorders>
            <w:shd w:val="clear" w:color="auto" w:fill="auto"/>
            <w:vAlign w:val="center"/>
          </w:tcPr>
          <w:p w14:paraId="2E0D74D9">
            <w:pPr>
              <w:spacing w:line="360" w:lineRule="auto"/>
              <w:jc w:val="center"/>
              <w:rPr>
                <w:rFonts w:eastAsia="楷体"/>
                <w:color w:val="000000" w:themeColor="text1"/>
                <w:sz w:val="22"/>
                <w:szCs w:val="22"/>
              </w:rPr>
            </w:pPr>
            <w:r>
              <w:rPr>
                <w:rFonts w:hint="eastAsia"/>
                <w:color w:val="000000" w:themeColor="text1"/>
                <w:sz w:val="22"/>
                <w:szCs w:val="22"/>
              </w:rPr>
              <w:t>参照《华东师范大学免试直升研究生学科竞赛清单（2025版）》</w:t>
            </w:r>
          </w:p>
        </w:tc>
        <w:tc>
          <w:tcPr>
            <w:tcW w:w="1826" w:type="dxa"/>
            <w:vMerge w:val="restart"/>
            <w:tcBorders>
              <w:top w:val="single" w:color="auto" w:sz="4" w:space="0"/>
              <w:left w:val="single" w:color="auto" w:sz="4" w:space="0"/>
              <w:right w:val="single" w:color="auto" w:sz="4" w:space="0"/>
            </w:tcBorders>
            <w:shd w:val="clear" w:color="auto" w:fill="auto"/>
            <w:vAlign w:val="center"/>
          </w:tcPr>
          <w:p w14:paraId="14D65CE6">
            <w:pPr>
              <w:spacing w:line="360" w:lineRule="auto"/>
              <w:jc w:val="center"/>
              <w:rPr>
                <w:rFonts w:ascii="Calibri" w:hAnsi="Calibri"/>
                <w:color w:val="000000" w:themeColor="text1"/>
                <w:sz w:val="22"/>
                <w:szCs w:val="22"/>
              </w:rPr>
            </w:pPr>
            <w:r>
              <w:rPr>
                <w:rFonts w:hint="eastAsia"/>
                <w:color w:val="000000" w:themeColor="text1"/>
                <w:sz w:val="22"/>
                <w:szCs w:val="22"/>
              </w:rPr>
              <w:t>国家级A类</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14:paraId="6943FE68">
            <w:pPr>
              <w:spacing w:line="360" w:lineRule="auto"/>
              <w:jc w:val="center"/>
              <w:rPr>
                <w:sz w:val="22"/>
                <w:szCs w:val="22"/>
              </w:rPr>
            </w:pPr>
            <w:r>
              <w:rPr>
                <w:rFonts w:hint="eastAsia"/>
                <w:sz w:val="22"/>
                <w:szCs w:val="22"/>
              </w:rPr>
              <w:t>第一等第</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680D2F18">
            <w:pPr>
              <w:spacing w:line="360" w:lineRule="auto"/>
              <w:jc w:val="center"/>
              <w:rPr>
                <w:sz w:val="22"/>
                <w:szCs w:val="22"/>
              </w:rPr>
            </w:pPr>
            <w:r>
              <w:rPr>
                <w:sz w:val="22"/>
                <w:szCs w:val="22"/>
              </w:rPr>
              <w:t>6</w:t>
            </w:r>
          </w:p>
        </w:tc>
      </w:tr>
      <w:tr w14:paraId="3431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826" w:type="dxa"/>
            <w:vMerge w:val="continue"/>
            <w:tcBorders>
              <w:left w:val="single" w:color="auto" w:sz="4" w:space="0"/>
              <w:right w:val="single" w:color="auto" w:sz="4" w:space="0"/>
            </w:tcBorders>
            <w:shd w:val="clear" w:color="auto" w:fill="auto"/>
            <w:vAlign w:val="center"/>
          </w:tcPr>
          <w:p w14:paraId="046AF435">
            <w:pPr>
              <w:spacing w:line="360" w:lineRule="auto"/>
              <w:jc w:val="center"/>
              <w:rPr>
                <w:b/>
                <w:color w:val="000000" w:themeColor="text1"/>
                <w:sz w:val="22"/>
                <w:szCs w:val="22"/>
              </w:rPr>
            </w:pPr>
          </w:p>
        </w:tc>
        <w:tc>
          <w:tcPr>
            <w:tcW w:w="1826" w:type="dxa"/>
            <w:vMerge w:val="continue"/>
            <w:tcBorders>
              <w:left w:val="single" w:color="auto" w:sz="4" w:space="0"/>
              <w:right w:val="single" w:color="auto" w:sz="4" w:space="0"/>
            </w:tcBorders>
            <w:shd w:val="clear" w:color="auto" w:fill="auto"/>
            <w:vAlign w:val="center"/>
          </w:tcPr>
          <w:p w14:paraId="4FC7B77E">
            <w:pPr>
              <w:spacing w:line="360" w:lineRule="auto"/>
              <w:jc w:val="center"/>
              <w:rPr>
                <w:b/>
                <w:color w:val="000000" w:themeColor="text1"/>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14:paraId="55DC18FE">
            <w:pPr>
              <w:spacing w:line="360" w:lineRule="auto"/>
              <w:jc w:val="center"/>
              <w:rPr>
                <w:sz w:val="22"/>
                <w:szCs w:val="22"/>
              </w:rPr>
            </w:pPr>
            <w:r>
              <w:rPr>
                <w:rFonts w:hint="eastAsia"/>
                <w:sz w:val="22"/>
                <w:szCs w:val="22"/>
              </w:rPr>
              <w:t>第二等第</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363A4F3F">
            <w:pPr>
              <w:spacing w:line="360" w:lineRule="auto"/>
              <w:jc w:val="center"/>
              <w:rPr>
                <w:sz w:val="22"/>
                <w:szCs w:val="22"/>
              </w:rPr>
            </w:pPr>
            <w:r>
              <w:rPr>
                <w:sz w:val="22"/>
                <w:szCs w:val="22"/>
              </w:rPr>
              <w:t>3</w:t>
            </w:r>
          </w:p>
        </w:tc>
      </w:tr>
      <w:tr w14:paraId="6303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826" w:type="dxa"/>
            <w:vMerge w:val="continue"/>
            <w:tcBorders>
              <w:left w:val="single" w:color="auto" w:sz="4" w:space="0"/>
              <w:right w:val="single" w:color="auto" w:sz="4" w:space="0"/>
            </w:tcBorders>
            <w:shd w:val="clear" w:color="auto" w:fill="auto"/>
            <w:vAlign w:val="center"/>
          </w:tcPr>
          <w:p w14:paraId="62FA00A2">
            <w:pPr>
              <w:spacing w:line="360" w:lineRule="auto"/>
              <w:jc w:val="center"/>
              <w:rPr>
                <w:b/>
                <w:color w:val="000000" w:themeColor="text1"/>
                <w:sz w:val="22"/>
                <w:szCs w:val="22"/>
              </w:rPr>
            </w:pPr>
          </w:p>
        </w:tc>
        <w:tc>
          <w:tcPr>
            <w:tcW w:w="1826" w:type="dxa"/>
            <w:vMerge w:val="continue"/>
            <w:tcBorders>
              <w:left w:val="single" w:color="auto" w:sz="4" w:space="0"/>
              <w:bottom w:val="single" w:color="auto" w:sz="4" w:space="0"/>
              <w:right w:val="single" w:color="auto" w:sz="4" w:space="0"/>
            </w:tcBorders>
            <w:shd w:val="clear" w:color="auto" w:fill="auto"/>
            <w:vAlign w:val="center"/>
          </w:tcPr>
          <w:p w14:paraId="2AD6A377">
            <w:pPr>
              <w:spacing w:line="360" w:lineRule="auto"/>
              <w:jc w:val="center"/>
              <w:rPr>
                <w:b/>
                <w:color w:val="000000" w:themeColor="text1"/>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14:paraId="72B6529D">
            <w:pPr>
              <w:spacing w:line="360" w:lineRule="auto"/>
              <w:jc w:val="center"/>
              <w:rPr>
                <w:sz w:val="22"/>
                <w:szCs w:val="22"/>
              </w:rPr>
            </w:pPr>
            <w:r>
              <w:rPr>
                <w:rFonts w:hint="eastAsia"/>
                <w:sz w:val="22"/>
                <w:szCs w:val="22"/>
              </w:rPr>
              <w:t>第三等第</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12D1FB5C">
            <w:pPr>
              <w:spacing w:line="360" w:lineRule="auto"/>
              <w:jc w:val="center"/>
              <w:rPr>
                <w:sz w:val="22"/>
                <w:szCs w:val="22"/>
              </w:rPr>
            </w:pPr>
            <w:r>
              <w:rPr>
                <w:sz w:val="22"/>
                <w:szCs w:val="22"/>
              </w:rPr>
              <w:t>2</w:t>
            </w:r>
          </w:p>
        </w:tc>
      </w:tr>
      <w:tr w14:paraId="3AA6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826" w:type="dxa"/>
            <w:vMerge w:val="continue"/>
            <w:tcBorders>
              <w:left w:val="single" w:color="auto" w:sz="4" w:space="0"/>
              <w:right w:val="single" w:color="auto" w:sz="4" w:space="0"/>
            </w:tcBorders>
            <w:shd w:val="clear" w:color="auto" w:fill="auto"/>
            <w:vAlign w:val="center"/>
          </w:tcPr>
          <w:p w14:paraId="1F76EAC5">
            <w:pPr>
              <w:spacing w:line="360" w:lineRule="auto"/>
              <w:jc w:val="center"/>
              <w:rPr>
                <w:color w:val="000000" w:themeColor="text1"/>
                <w:sz w:val="22"/>
                <w:szCs w:val="22"/>
              </w:rPr>
            </w:pPr>
          </w:p>
        </w:tc>
        <w:tc>
          <w:tcPr>
            <w:tcW w:w="1826" w:type="dxa"/>
            <w:vMerge w:val="restart"/>
            <w:tcBorders>
              <w:top w:val="single" w:color="auto" w:sz="4" w:space="0"/>
              <w:left w:val="single" w:color="auto" w:sz="4" w:space="0"/>
              <w:right w:val="single" w:color="auto" w:sz="4" w:space="0"/>
            </w:tcBorders>
            <w:shd w:val="clear" w:color="auto" w:fill="auto"/>
            <w:vAlign w:val="center"/>
          </w:tcPr>
          <w:p w14:paraId="4EDB8D65">
            <w:pPr>
              <w:spacing w:line="360" w:lineRule="auto"/>
              <w:jc w:val="center"/>
              <w:rPr>
                <w:rFonts w:ascii="Calibri" w:hAnsi="Calibri"/>
                <w:color w:val="000000" w:themeColor="text1"/>
                <w:sz w:val="22"/>
                <w:szCs w:val="22"/>
              </w:rPr>
            </w:pPr>
            <w:r>
              <w:rPr>
                <w:rFonts w:hint="eastAsia"/>
                <w:color w:val="000000" w:themeColor="text1"/>
                <w:sz w:val="22"/>
                <w:szCs w:val="22"/>
              </w:rPr>
              <w:t>国家级</w:t>
            </w:r>
            <w:r>
              <w:rPr>
                <w:color w:val="000000" w:themeColor="text1"/>
                <w:sz w:val="22"/>
                <w:szCs w:val="22"/>
              </w:rPr>
              <w:t>B</w:t>
            </w:r>
            <w:r>
              <w:rPr>
                <w:rFonts w:hint="eastAsia"/>
                <w:color w:val="000000" w:themeColor="text1"/>
                <w:sz w:val="22"/>
                <w:szCs w:val="22"/>
              </w:rPr>
              <w:t>类</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14:paraId="2E4E89AA">
            <w:pPr>
              <w:spacing w:line="360" w:lineRule="auto"/>
              <w:jc w:val="center"/>
              <w:rPr>
                <w:sz w:val="22"/>
                <w:szCs w:val="22"/>
              </w:rPr>
            </w:pPr>
            <w:r>
              <w:rPr>
                <w:rFonts w:hint="eastAsia"/>
                <w:sz w:val="22"/>
                <w:szCs w:val="22"/>
              </w:rPr>
              <w:t>第一等第</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2D30F3E6">
            <w:pPr>
              <w:spacing w:line="360" w:lineRule="auto"/>
              <w:jc w:val="center"/>
              <w:rPr>
                <w:sz w:val="22"/>
                <w:szCs w:val="22"/>
              </w:rPr>
            </w:pPr>
            <w:r>
              <w:rPr>
                <w:sz w:val="22"/>
                <w:szCs w:val="22"/>
              </w:rPr>
              <w:t>3</w:t>
            </w:r>
          </w:p>
        </w:tc>
      </w:tr>
      <w:tr w14:paraId="413C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826" w:type="dxa"/>
            <w:vMerge w:val="continue"/>
            <w:tcBorders>
              <w:left w:val="single" w:color="auto" w:sz="4" w:space="0"/>
              <w:right w:val="single" w:color="auto" w:sz="4" w:space="0"/>
            </w:tcBorders>
            <w:shd w:val="clear" w:color="auto" w:fill="auto"/>
            <w:vAlign w:val="center"/>
          </w:tcPr>
          <w:p w14:paraId="6DA732A1">
            <w:pPr>
              <w:spacing w:line="360" w:lineRule="auto"/>
              <w:jc w:val="center"/>
              <w:rPr>
                <w:sz w:val="22"/>
                <w:szCs w:val="22"/>
              </w:rPr>
            </w:pPr>
          </w:p>
        </w:tc>
        <w:tc>
          <w:tcPr>
            <w:tcW w:w="1826" w:type="dxa"/>
            <w:vMerge w:val="continue"/>
            <w:tcBorders>
              <w:left w:val="single" w:color="auto" w:sz="4" w:space="0"/>
              <w:right w:val="single" w:color="auto" w:sz="4" w:space="0"/>
            </w:tcBorders>
            <w:shd w:val="clear" w:color="auto" w:fill="auto"/>
            <w:vAlign w:val="center"/>
          </w:tcPr>
          <w:p w14:paraId="0CBE4C37">
            <w:pPr>
              <w:spacing w:line="360" w:lineRule="auto"/>
              <w:jc w:val="center"/>
              <w:rPr>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14:paraId="57B34FB0">
            <w:pPr>
              <w:spacing w:line="360" w:lineRule="auto"/>
              <w:jc w:val="center"/>
              <w:rPr>
                <w:sz w:val="22"/>
                <w:szCs w:val="22"/>
              </w:rPr>
            </w:pPr>
            <w:r>
              <w:rPr>
                <w:rFonts w:hint="eastAsia"/>
                <w:sz w:val="22"/>
                <w:szCs w:val="22"/>
              </w:rPr>
              <w:t>第二等第</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0AE67D3B">
            <w:pPr>
              <w:spacing w:line="360" w:lineRule="auto"/>
              <w:jc w:val="center"/>
              <w:rPr>
                <w:sz w:val="22"/>
                <w:szCs w:val="22"/>
              </w:rPr>
            </w:pPr>
            <w:r>
              <w:rPr>
                <w:sz w:val="22"/>
                <w:szCs w:val="22"/>
              </w:rPr>
              <w:t>1.5</w:t>
            </w:r>
          </w:p>
        </w:tc>
      </w:tr>
      <w:tr w14:paraId="3E56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826" w:type="dxa"/>
            <w:vMerge w:val="continue"/>
            <w:tcBorders>
              <w:left w:val="single" w:color="auto" w:sz="4" w:space="0"/>
              <w:right w:val="single" w:color="auto" w:sz="4" w:space="0"/>
            </w:tcBorders>
            <w:shd w:val="clear" w:color="auto" w:fill="auto"/>
            <w:vAlign w:val="center"/>
          </w:tcPr>
          <w:p w14:paraId="02CE6DC8">
            <w:pPr>
              <w:spacing w:line="360" w:lineRule="auto"/>
              <w:jc w:val="center"/>
              <w:rPr>
                <w:sz w:val="22"/>
                <w:szCs w:val="22"/>
              </w:rPr>
            </w:pPr>
          </w:p>
        </w:tc>
        <w:tc>
          <w:tcPr>
            <w:tcW w:w="1826" w:type="dxa"/>
            <w:vMerge w:val="continue"/>
            <w:tcBorders>
              <w:left w:val="single" w:color="auto" w:sz="4" w:space="0"/>
              <w:right w:val="single" w:color="auto" w:sz="4" w:space="0"/>
            </w:tcBorders>
            <w:shd w:val="clear" w:color="auto" w:fill="auto"/>
            <w:vAlign w:val="center"/>
          </w:tcPr>
          <w:p w14:paraId="1DB55087">
            <w:pPr>
              <w:spacing w:line="360" w:lineRule="auto"/>
              <w:jc w:val="center"/>
              <w:rPr>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14:paraId="296004E2">
            <w:pPr>
              <w:spacing w:line="360" w:lineRule="auto"/>
              <w:jc w:val="center"/>
              <w:rPr>
                <w:sz w:val="22"/>
                <w:szCs w:val="22"/>
              </w:rPr>
            </w:pPr>
            <w:r>
              <w:rPr>
                <w:rFonts w:hint="eastAsia"/>
                <w:sz w:val="22"/>
                <w:szCs w:val="22"/>
              </w:rPr>
              <w:t>第三等第</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58702AC2">
            <w:pPr>
              <w:spacing w:line="360" w:lineRule="auto"/>
              <w:jc w:val="center"/>
              <w:rPr>
                <w:sz w:val="22"/>
                <w:szCs w:val="22"/>
              </w:rPr>
            </w:pPr>
            <w:r>
              <w:rPr>
                <w:sz w:val="22"/>
                <w:szCs w:val="22"/>
              </w:rPr>
              <w:t>1</w:t>
            </w:r>
          </w:p>
        </w:tc>
      </w:tr>
    </w:tbl>
    <w:p w14:paraId="61CE6C55">
      <w:pPr>
        <w:spacing w:line="360" w:lineRule="auto"/>
        <w:jc w:val="left"/>
        <w:rPr>
          <w:rFonts w:ascii="楷体" w:hAnsi="楷体" w:eastAsia="楷体"/>
          <w:sz w:val="24"/>
        </w:rPr>
      </w:pPr>
      <w:r>
        <w:rPr>
          <w:rFonts w:hint="eastAsia" w:ascii="楷体" w:hAnsi="楷体" w:eastAsia="楷体"/>
          <w:sz w:val="24"/>
        </w:rPr>
        <w:t>注：</w:t>
      </w:r>
    </w:p>
    <w:p w14:paraId="5736202A">
      <w:pPr>
        <w:spacing w:line="360" w:lineRule="auto"/>
        <w:jc w:val="left"/>
        <w:rPr>
          <w:rFonts w:ascii="楷体" w:hAnsi="楷体" w:eastAsia="楷体"/>
          <w:sz w:val="24"/>
        </w:rPr>
      </w:pPr>
      <w:r>
        <w:rPr>
          <w:rFonts w:eastAsia="楷体"/>
          <w:sz w:val="24"/>
        </w:rPr>
        <w:t>1、</w:t>
      </w:r>
      <w:r>
        <w:rPr>
          <w:rFonts w:hint="eastAsia" w:ascii="楷体" w:hAnsi="楷体" w:eastAsia="楷体"/>
          <w:sz w:val="24"/>
        </w:rPr>
        <w:t>限学生本科阶段作为唯一队员或主力队员（每支队伍主力队员不多于</w:t>
      </w:r>
      <w:r>
        <w:rPr>
          <w:rFonts w:eastAsia="楷体"/>
          <w:sz w:val="24"/>
        </w:rPr>
        <w:t>5</w:t>
      </w:r>
      <w:r>
        <w:rPr>
          <w:rFonts w:ascii="楷体" w:hAnsi="楷体" w:eastAsia="楷体"/>
          <w:sz w:val="24"/>
        </w:rPr>
        <w:t>人）</w:t>
      </w:r>
      <w:r>
        <w:rPr>
          <w:rFonts w:hint="eastAsia" w:ascii="楷体" w:hAnsi="楷体" w:eastAsia="楷体"/>
          <w:sz w:val="24"/>
        </w:rPr>
        <w:t>，</w:t>
      </w:r>
      <w:r>
        <w:rPr>
          <w:rFonts w:hint="eastAsia" w:ascii="楷体" w:hAnsi="楷体" w:eastAsia="楷体"/>
        </w:rPr>
        <w:t>并</w:t>
      </w:r>
      <w:r>
        <w:rPr>
          <w:rFonts w:hint="eastAsia" w:ascii="楷体" w:hAnsi="楷体" w:eastAsia="楷体"/>
          <w:sz w:val="24"/>
        </w:rPr>
        <w:t>获得第三等级及以上加分，具体量化标准：独立完成</w:t>
      </w:r>
      <w:r>
        <w:rPr>
          <w:rFonts w:eastAsia="楷体"/>
          <w:sz w:val="24"/>
        </w:rPr>
        <w:t>100%</w:t>
      </w:r>
      <w:r>
        <w:rPr>
          <w:rFonts w:hint="eastAsia" w:ascii="楷体" w:hAnsi="楷体" w:eastAsia="楷体"/>
          <w:sz w:val="24"/>
        </w:rPr>
        <w:t>，第一负责人</w:t>
      </w:r>
      <w:r>
        <w:rPr>
          <w:rFonts w:eastAsia="楷体"/>
          <w:sz w:val="24"/>
        </w:rPr>
        <w:t>80%</w:t>
      </w:r>
      <w:r>
        <w:rPr>
          <w:rFonts w:hint="eastAsia" w:ascii="楷体" w:hAnsi="楷体" w:eastAsia="楷体"/>
          <w:sz w:val="24"/>
        </w:rPr>
        <w:t>，其余主力队员</w:t>
      </w:r>
      <w:r>
        <w:rPr>
          <w:rFonts w:eastAsia="楷体"/>
          <w:sz w:val="24"/>
        </w:rPr>
        <w:t>50%</w:t>
      </w:r>
      <w:r>
        <w:rPr>
          <w:rFonts w:hint="eastAsia" w:ascii="楷体" w:hAnsi="楷体" w:eastAsia="楷体"/>
          <w:sz w:val="24"/>
        </w:rPr>
        <w:t>。</w:t>
      </w:r>
    </w:p>
    <w:p w14:paraId="61293EAA">
      <w:pPr>
        <w:spacing w:line="360" w:lineRule="auto"/>
        <w:jc w:val="left"/>
        <w:rPr>
          <w:rFonts w:hint="eastAsia" w:ascii="楷体" w:hAnsi="楷体" w:eastAsia="楷体"/>
          <w:sz w:val="24"/>
        </w:rPr>
      </w:pPr>
      <w:r>
        <w:rPr>
          <w:rFonts w:eastAsia="楷体"/>
          <w:sz w:val="24"/>
        </w:rPr>
        <w:t>2、</w:t>
      </w:r>
      <w:r>
        <w:rPr>
          <w:rFonts w:hint="eastAsia" w:ascii="楷体" w:hAnsi="楷体" w:eastAsia="楷体"/>
          <w:sz w:val="24"/>
        </w:rPr>
        <w:t>本部分如有多个可获加分情形的，不累计加分，就高计一次，上限不超过</w:t>
      </w:r>
      <w:r>
        <w:rPr>
          <w:rFonts w:eastAsia="楷体"/>
          <w:sz w:val="24"/>
        </w:rPr>
        <w:t>6</w:t>
      </w:r>
      <w:r>
        <w:rPr>
          <w:rFonts w:hint="eastAsia" w:ascii="楷体" w:hAnsi="楷体" w:eastAsia="楷体"/>
          <w:sz w:val="24"/>
        </w:rPr>
        <w:t>分。</w:t>
      </w:r>
    </w:p>
    <w:p w14:paraId="75136BE7">
      <w:pPr>
        <w:spacing w:line="360" w:lineRule="auto"/>
        <w:jc w:val="left"/>
        <w:rPr>
          <w:rFonts w:hint="eastAsia" w:ascii="楷体" w:hAnsi="楷体" w:eastAsia="楷体"/>
          <w:sz w:val="24"/>
        </w:rPr>
      </w:pPr>
      <w:bookmarkStart w:id="2" w:name="_GoBack"/>
      <w:bookmarkEnd w:id="2"/>
    </w:p>
    <w:p w14:paraId="7BD27D99">
      <w:pPr>
        <w:spacing w:line="360" w:lineRule="auto"/>
        <w:jc w:val="left"/>
        <w:rPr>
          <w:b/>
          <w:bCs/>
          <w:sz w:val="24"/>
        </w:rPr>
      </w:pPr>
      <w:r>
        <w:rPr>
          <w:rFonts w:hint="eastAsia"/>
          <w:b/>
          <w:bCs/>
          <w:sz w:val="24"/>
        </w:rPr>
        <w:t>（三）创新创业</w:t>
      </w:r>
    </w:p>
    <w:tbl>
      <w:tblPr>
        <w:tblStyle w:val="8"/>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3843"/>
        <w:gridCol w:w="1812"/>
        <w:gridCol w:w="1369"/>
      </w:tblGrid>
      <w:tr w14:paraId="5AF5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Align w:val="center"/>
          </w:tcPr>
          <w:p w14:paraId="0BAB9300">
            <w:pPr>
              <w:spacing w:line="360" w:lineRule="auto"/>
              <w:jc w:val="center"/>
              <w:rPr>
                <w:rFonts w:ascii="宋体" w:hAnsi="宋体"/>
                <w:b/>
                <w:sz w:val="22"/>
                <w:szCs w:val="22"/>
              </w:rPr>
            </w:pPr>
            <w:r>
              <w:rPr>
                <w:rFonts w:hint="eastAsia" w:ascii="宋体" w:hAnsi="宋体"/>
                <w:b/>
                <w:sz w:val="22"/>
                <w:szCs w:val="22"/>
              </w:rPr>
              <w:t>类别</w:t>
            </w:r>
          </w:p>
        </w:tc>
        <w:tc>
          <w:tcPr>
            <w:tcW w:w="3843" w:type="dxa"/>
            <w:shd w:val="clear" w:color="auto" w:fill="auto"/>
            <w:vAlign w:val="center"/>
          </w:tcPr>
          <w:p w14:paraId="5D293F08">
            <w:pPr>
              <w:spacing w:line="360" w:lineRule="auto"/>
              <w:jc w:val="center"/>
              <w:rPr>
                <w:rFonts w:ascii="宋体" w:hAnsi="宋体"/>
                <w:sz w:val="24"/>
              </w:rPr>
            </w:pPr>
            <w:r>
              <w:rPr>
                <w:rFonts w:hint="eastAsia" w:ascii="宋体" w:hAnsi="宋体"/>
                <w:b/>
                <w:sz w:val="22"/>
                <w:szCs w:val="22"/>
              </w:rPr>
              <w:t>项目名称</w:t>
            </w:r>
          </w:p>
        </w:tc>
        <w:tc>
          <w:tcPr>
            <w:tcW w:w="1812" w:type="dxa"/>
            <w:vAlign w:val="center"/>
          </w:tcPr>
          <w:p w14:paraId="24427313">
            <w:pPr>
              <w:spacing w:line="360" w:lineRule="auto"/>
              <w:jc w:val="center"/>
              <w:rPr>
                <w:rFonts w:ascii="宋体" w:hAnsi="宋体"/>
                <w:b/>
                <w:sz w:val="22"/>
                <w:szCs w:val="22"/>
              </w:rPr>
            </w:pPr>
            <w:r>
              <w:rPr>
                <w:rFonts w:hint="eastAsia" w:ascii="宋体" w:hAnsi="宋体"/>
                <w:b/>
                <w:sz w:val="22"/>
                <w:szCs w:val="22"/>
              </w:rPr>
              <w:t>获奖等级</w:t>
            </w:r>
          </w:p>
        </w:tc>
        <w:tc>
          <w:tcPr>
            <w:tcW w:w="1369" w:type="dxa"/>
            <w:vAlign w:val="center"/>
          </w:tcPr>
          <w:p w14:paraId="13C1B964">
            <w:pPr>
              <w:spacing w:line="360" w:lineRule="auto"/>
              <w:jc w:val="center"/>
              <w:rPr>
                <w:rFonts w:ascii="宋体" w:hAnsi="宋体"/>
                <w:b/>
                <w:sz w:val="22"/>
                <w:szCs w:val="22"/>
              </w:rPr>
            </w:pPr>
            <w:r>
              <w:rPr>
                <w:rFonts w:hint="eastAsia" w:ascii="宋体" w:hAnsi="宋体"/>
                <w:b/>
                <w:sz w:val="22"/>
                <w:szCs w:val="22"/>
              </w:rPr>
              <w:t>加分分值</w:t>
            </w:r>
          </w:p>
        </w:tc>
      </w:tr>
      <w:tr w14:paraId="4621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restart"/>
            <w:vAlign w:val="center"/>
          </w:tcPr>
          <w:p w14:paraId="79331C4E">
            <w:pPr>
              <w:spacing w:line="360" w:lineRule="auto"/>
              <w:jc w:val="center"/>
              <w:rPr>
                <w:rFonts w:ascii="宋体" w:hAnsi="宋体"/>
                <w:sz w:val="22"/>
              </w:rPr>
            </w:pPr>
            <w:r>
              <w:rPr>
                <w:rFonts w:hint="eastAsia" w:ascii="宋体" w:hAnsi="宋体"/>
                <w:sz w:val="22"/>
              </w:rPr>
              <w:t>双创竞赛活动</w:t>
            </w:r>
          </w:p>
        </w:tc>
        <w:tc>
          <w:tcPr>
            <w:tcW w:w="3843" w:type="dxa"/>
            <w:vMerge w:val="restart"/>
            <w:shd w:val="clear" w:color="auto" w:fill="auto"/>
            <w:vAlign w:val="center"/>
          </w:tcPr>
          <w:p w14:paraId="067D79C0">
            <w:pPr>
              <w:spacing w:line="360" w:lineRule="auto"/>
              <w:jc w:val="center"/>
              <w:rPr>
                <w:rFonts w:ascii="宋体" w:hAnsi="宋体"/>
                <w:sz w:val="22"/>
              </w:rPr>
            </w:pPr>
            <w:r>
              <w:rPr>
                <w:rFonts w:hint="eastAsia" w:ascii="宋体" w:hAnsi="宋体"/>
                <w:sz w:val="22"/>
              </w:rPr>
              <w:t>全国大学生电子商务“创新、创意及创业”挑战赛</w:t>
            </w:r>
          </w:p>
        </w:tc>
        <w:tc>
          <w:tcPr>
            <w:tcW w:w="1812" w:type="dxa"/>
            <w:vAlign w:val="center"/>
          </w:tcPr>
          <w:p w14:paraId="7A0F9FEA">
            <w:pPr>
              <w:spacing w:line="360" w:lineRule="auto"/>
              <w:jc w:val="center"/>
              <w:rPr>
                <w:sz w:val="22"/>
                <w:szCs w:val="22"/>
              </w:rPr>
            </w:pPr>
            <w:r>
              <w:rPr>
                <w:rFonts w:hint="eastAsia"/>
                <w:sz w:val="22"/>
                <w:szCs w:val="22"/>
              </w:rPr>
              <w:t>第一等第</w:t>
            </w:r>
          </w:p>
        </w:tc>
        <w:tc>
          <w:tcPr>
            <w:tcW w:w="1369" w:type="dxa"/>
            <w:vAlign w:val="center"/>
          </w:tcPr>
          <w:p w14:paraId="63708354">
            <w:pPr>
              <w:spacing w:line="360" w:lineRule="auto"/>
              <w:jc w:val="center"/>
              <w:rPr>
                <w:sz w:val="22"/>
                <w:szCs w:val="22"/>
              </w:rPr>
            </w:pPr>
            <w:r>
              <w:rPr>
                <w:sz w:val="22"/>
                <w:szCs w:val="22"/>
              </w:rPr>
              <w:t>6</w:t>
            </w:r>
          </w:p>
        </w:tc>
      </w:tr>
      <w:tr w14:paraId="27A3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24016FAA">
            <w:pPr>
              <w:spacing w:line="360" w:lineRule="auto"/>
              <w:jc w:val="center"/>
              <w:rPr>
                <w:rFonts w:ascii="宋体" w:hAnsi="宋体"/>
                <w:sz w:val="22"/>
              </w:rPr>
            </w:pPr>
          </w:p>
        </w:tc>
        <w:tc>
          <w:tcPr>
            <w:tcW w:w="3843" w:type="dxa"/>
            <w:vMerge w:val="continue"/>
            <w:shd w:val="clear" w:color="auto" w:fill="auto"/>
            <w:vAlign w:val="center"/>
          </w:tcPr>
          <w:p w14:paraId="081AA628">
            <w:pPr>
              <w:spacing w:line="360" w:lineRule="auto"/>
              <w:jc w:val="center"/>
              <w:rPr>
                <w:rFonts w:ascii="宋体" w:hAnsi="宋体"/>
                <w:sz w:val="22"/>
              </w:rPr>
            </w:pPr>
          </w:p>
        </w:tc>
        <w:tc>
          <w:tcPr>
            <w:tcW w:w="1812" w:type="dxa"/>
            <w:vAlign w:val="center"/>
          </w:tcPr>
          <w:p w14:paraId="77F94D3B">
            <w:pPr>
              <w:spacing w:line="360" w:lineRule="auto"/>
              <w:jc w:val="center"/>
              <w:rPr>
                <w:sz w:val="22"/>
                <w:szCs w:val="22"/>
              </w:rPr>
            </w:pPr>
            <w:r>
              <w:rPr>
                <w:rFonts w:hint="eastAsia"/>
                <w:sz w:val="22"/>
                <w:szCs w:val="22"/>
              </w:rPr>
              <w:t>第二等第</w:t>
            </w:r>
          </w:p>
        </w:tc>
        <w:tc>
          <w:tcPr>
            <w:tcW w:w="1369" w:type="dxa"/>
            <w:vAlign w:val="center"/>
          </w:tcPr>
          <w:p w14:paraId="6703576A">
            <w:pPr>
              <w:spacing w:line="360" w:lineRule="auto"/>
              <w:jc w:val="center"/>
              <w:rPr>
                <w:sz w:val="22"/>
                <w:szCs w:val="22"/>
              </w:rPr>
            </w:pPr>
            <w:r>
              <w:rPr>
                <w:sz w:val="22"/>
                <w:szCs w:val="22"/>
              </w:rPr>
              <w:t>3</w:t>
            </w:r>
          </w:p>
        </w:tc>
      </w:tr>
      <w:tr w14:paraId="5E03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104AF04B">
            <w:pPr>
              <w:spacing w:line="360" w:lineRule="auto"/>
              <w:jc w:val="center"/>
              <w:rPr>
                <w:rFonts w:ascii="宋体" w:hAnsi="宋体"/>
                <w:sz w:val="22"/>
              </w:rPr>
            </w:pPr>
          </w:p>
        </w:tc>
        <w:tc>
          <w:tcPr>
            <w:tcW w:w="3843" w:type="dxa"/>
            <w:vMerge w:val="continue"/>
            <w:shd w:val="clear" w:color="auto" w:fill="auto"/>
            <w:vAlign w:val="center"/>
          </w:tcPr>
          <w:p w14:paraId="5B78FB47">
            <w:pPr>
              <w:spacing w:line="360" w:lineRule="auto"/>
              <w:jc w:val="center"/>
              <w:rPr>
                <w:rFonts w:ascii="宋体" w:hAnsi="宋体"/>
                <w:sz w:val="22"/>
              </w:rPr>
            </w:pPr>
          </w:p>
        </w:tc>
        <w:tc>
          <w:tcPr>
            <w:tcW w:w="1812" w:type="dxa"/>
            <w:vAlign w:val="center"/>
          </w:tcPr>
          <w:p w14:paraId="2F22C2B8">
            <w:pPr>
              <w:spacing w:line="360" w:lineRule="auto"/>
              <w:jc w:val="center"/>
              <w:rPr>
                <w:sz w:val="22"/>
                <w:szCs w:val="22"/>
              </w:rPr>
            </w:pPr>
            <w:r>
              <w:rPr>
                <w:rFonts w:hint="eastAsia"/>
                <w:sz w:val="22"/>
                <w:szCs w:val="22"/>
              </w:rPr>
              <w:t>第三等第</w:t>
            </w:r>
          </w:p>
        </w:tc>
        <w:tc>
          <w:tcPr>
            <w:tcW w:w="1369" w:type="dxa"/>
            <w:vAlign w:val="center"/>
          </w:tcPr>
          <w:p w14:paraId="1555B141">
            <w:pPr>
              <w:spacing w:line="360" w:lineRule="auto"/>
              <w:jc w:val="center"/>
              <w:rPr>
                <w:sz w:val="22"/>
                <w:szCs w:val="22"/>
              </w:rPr>
            </w:pPr>
            <w:r>
              <w:rPr>
                <w:sz w:val="22"/>
                <w:szCs w:val="22"/>
              </w:rPr>
              <w:t>2</w:t>
            </w:r>
          </w:p>
        </w:tc>
      </w:tr>
      <w:tr w14:paraId="1468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63952AE1">
            <w:pPr>
              <w:spacing w:line="360" w:lineRule="auto"/>
              <w:jc w:val="center"/>
              <w:rPr>
                <w:rFonts w:ascii="宋体" w:hAnsi="宋体"/>
                <w:sz w:val="22"/>
              </w:rPr>
            </w:pPr>
          </w:p>
        </w:tc>
        <w:tc>
          <w:tcPr>
            <w:tcW w:w="3843" w:type="dxa"/>
            <w:vMerge w:val="restart"/>
            <w:shd w:val="clear" w:color="auto" w:fill="auto"/>
            <w:vAlign w:val="center"/>
          </w:tcPr>
          <w:p w14:paraId="61BC6C9A">
            <w:pPr>
              <w:spacing w:line="360" w:lineRule="auto"/>
              <w:jc w:val="center"/>
              <w:rPr>
                <w:rFonts w:ascii="宋体" w:hAnsi="宋体"/>
                <w:sz w:val="22"/>
              </w:rPr>
            </w:pPr>
            <w:r>
              <w:rPr>
                <w:rFonts w:hint="eastAsia" w:ascii="宋体" w:hAnsi="宋体"/>
                <w:sz w:val="22"/>
              </w:rPr>
              <w:t>中国大学生服务外包创新创业大赛</w:t>
            </w:r>
          </w:p>
        </w:tc>
        <w:tc>
          <w:tcPr>
            <w:tcW w:w="1812" w:type="dxa"/>
            <w:vAlign w:val="center"/>
          </w:tcPr>
          <w:p w14:paraId="541B211B">
            <w:pPr>
              <w:spacing w:line="360" w:lineRule="auto"/>
              <w:jc w:val="center"/>
              <w:rPr>
                <w:sz w:val="22"/>
                <w:szCs w:val="22"/>
              </w:rPr>
            </w:pPr>
            <w:r>
              <w:rPr>
                <w:rFonts w:hint="eastAsia"/>
                <w:sz w:val="22"/>
                <w:szCs w:val="22"/>
              </w:rPr>
              <w:t>第一等第</w:t>
            </w:r>
          </w:p>
        </w:tc>
        <w:tc>
          <w:tcPr>
            <w:tcW w:w="1369" w:type="dxa"/>
            <w:vAlign w:val="center"/>
          </w:tcPr>
          <w:p w14:paraId="7AABBD38">
            <w:pPr>
              <w:spacing w:line="360" w:lineRule="auto"/>
              <w:jc w:val="center"/>
              <w:rPr>
                <w:sz w:val="22"/>
                <w:szCs w:val="22"/>
              </w:rPr>
            </w:pPr>
            <w:r>
              <w:rPr>
                <w:sz w:val="22"/>
                <w:szCs w:val="22"/>
              </w:rPr>
              <w:t>6</w:t>
            </w:r>
          </w:p>
        </w:tc>
      </w:tr>
      <w:tr w14:paraId="0A7D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5D07FFC8">
            <w:pPr>
              <w:spacing w:line="360" w:lineRule="auto"/>
              <w:jc w:val="center"/>
              <w:rPr>
                <w:rFonts w:ascii="宋体" w:hAnsi="宋体"/>
                <w:sz w:val="22"/>
              </w:rPr>
            </w:pPr>
          </w:p>
        </w:tc>
        <w:tc>
          <w:tcPr>
            <w:tcW w:w="3843" w:type="dxa"/>
            <w:vMerge w:val="continue"/>
            <w:shd w:val="clear" w:color="auto" w:fill="auto"/>
            <w:vAlign w:val="center"/>
          </w:tcPr>
          <w:p w14:paraId="75E7868C">
            <w:pPr>
              <w:spacing w:line="360" w:lineRule="auto"/>
              <w:jc w:val="center"/>
              <w:rPr>
                <w:rFonts w:ascii="宋体" w:hAnsi="宋体"/>
                <w:sz w:val="22"/>
              </w:rPr>
            </w:pPr>
          </w:p>
        </w:tc>
        <w:tc>
          <w:tcPr>
            <w:tcW w:w="1812" w:type="dxa"/>
            <w:vAlign w:val="center"/>
          </w:tcPr>
          <w:p w14:paraId="6FEF6A04">
            <w:pPr>
              <w:spacing w:line="360" w:lineRule="auto"/>
              <w:jc w:val="center"/>
              <w:rPr>
                <w:sz w:val="22"/>
                <w:szCs w:val="22"/>
              </w:rPr>
            </w:pPr>
            <w:r>
              <w:rPr>
                <w:rFonts w:hint="eastAsia"/>
                <w:sz w:val="22"/>
                <w:szCs w:val="22"/>
              </w:rPr>
              <w:t>第二等第</w:t>
            </w:r>
          </w:p>
        </w:tc>
        <w:tc>
          <w:tcPr>
            <w:tcW w:w="1369" w:type="dxa"/>
            <w:vAlign w:val="center"/>
          </w:tcPr>
          <w:p w14:paraId="5EC19341">
            <w:pPr>
              <w:spacing w:line="360" w:lineRule="auto"/>
              <w:jc w:val="center"/>
              <w:rPr>
                <w:sz w:val="22"/>
                <w:szCs w:val="22"/>
              </w:rPr>
            </w:pPr>
            <w:r>
              <w:rPr>
                <w:sz w:val="22"/>
                <w:szCs w:val="22"/>
              </w:rPr>
              <w:t>3</w:t>
            </w:r>
          </w:p>
        </w:tc>
      </w:tr>
      <w:tr w14:paraId="32CE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17EA9AA3">
            <w:pPr>
              <w:spacing w:line="360" w:lineRule="auto"/>
              <w:jc w:val="center"/>
              <w:rPr>
                <w:rFonts w:ascii="宋体" w:hAnsi="宋体"/>
                <w:sz w:val="22"/>
              </w:rPr>
            </w:pPr>
          </w:p>
        </w:tc>
        <w:tc>
          <w:tcPr>
            <w:tcW w:w="3843" w:type="dxa"/>
            <w:vMerge w:val="continue"/>
            <w:shd w:val="clear" w:color="auto" w:fill="auto"/>
            <w:vAlign w:val="center"/>
          </w:tcPr>
          <w:p w14:paraId="74806BB3">
            <w:pPr>
              <w:spacing w:line="360" w:lineRule="auto"/>
              <w:jc w:val="center"/>
              <w:rPr>
                <w:rFonts w:ascii="宋体" w:hAnsi="宋体"/>
                <w:sz w:val="22"/>
              </w:rPr>
            </w:pPr>
          </w:p>
        </w:tc>
        <w:tc>
          <w:tcPr>
            <w:tcW w:w="1812" w:type="dxa"/>
            <w:vAlign w:val="center"/>
          </w:tcPr>
          <w:p w14:paraId="2DD7895D">
            <w:pPr>
              <w:spacing w:line="360" w:lineRule="auto"/>
              <w:jc w:val="center"/>
              <w:rPr>
                <w:sz w:val="22"/>
                <w:szCs w:val="22"/>
              </w:rPr>
            </w:pPr>
            <w:r>
              <w:rPr>
                <w:rFonts w:hint="eastAsia"/>
                <w:sz w:val="22"/>
                <w:szCs w:val="22"/>
              </w:rPr>
              <w:t>第三等第</w:t>
            </w:r>
          </w:p>
        </w:tc>
        <w:tc>
          <w:tcPr>
            <w:tcW w:w="1369" w:type="dxa"/>
            <w:vAlign w:val="center"/>
          </w:tcPr>
          <w:p w14:paraId="443C400F">
            <w:pPr>
              <w:spacing w:line="360" w:lineRule="auto"/>
              <w:jc w:val="center"/>
              <w:rPr>
                <w:sz w:val="22"/>
                <w:szCs w:val="22"/>
              </w:rPr>
            </w:pPr>
            <w:r>
              <w:rPr>
                <w:sz w:val="22"/>
                <w:szCs w:val="22"/>
              </w:rPr>
              <w:t>2</w:t>
            </w:r>
          </w:p>
        </w:tc>
      </w:tr>
      <w:tr w14:paraId="2E01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6F4EBC90">
            <w:pPr>
              <w:spacing w:line="360" w:lineRule="auto"/>
              <w:jc w:val="center"/>
              <w:rPr>
                <w:rFonts w:ascii="宋体" w:hAnsi="宋体"/>
                <w:sz w:val="22"/>
              </w:rPr>
            </w:pPr>
          </w:p>
        </w:tc>
        <w:tc>
          <w:tcPr>
            <w:tcW w:w="3843" w:type="dxa"/>
            <w:vMerge w:val="restart"/>
            <w:shd w:val="clear" w:color="auto" w:fill="auto"/>
            <w:vAlign w:val="center"/>
          </w:tcPr>
          <w:p w14:paraId="640535AD">
            <w:pPr>
              <w:spacing w:line="360" w:lineRule="auto"/>
              <w:jc w:val="center"/>
              <w:rPr>
                <w:rFonts w:ascii="宋体" w:hAnsi="宋体"/>
                <w:sz w:val="22"/>
              </w:rPr>
            </w:pPr>
            <w:r>
              <w:rPr>
                <w:rFonts w:hint="eastAsia" w:ascii="宋体" w:hAnsi="宋体"/>
                <w:sz w:val="22"/>
              </w:rPr>
              <w:t>中美青年创客大赛</w:t>
            </w:r>
          </w:p>
        </w:tc>
        <w:tc>
          <w:tcPr>
            <w:tcW w:w="1812" w:type="dxa"/>
            <w:vAlign w:val="center"/>
          </w:tcPr>
          <w:p w14:paraId="3A85D8D2">
            <w:pPr>
              <w:spacing w:line="360" w:lineRule="auto"/>
              <w:jc w:val="center"/>
              <w:rPr>
                <w:sz w:val="22"/>
                <w:szCs w:val="22"/>
              </w:rPr>
            </w:pPr>
            <w:r>
              <w:rPr>
                <w:rFonts w:hint="eastAsia"/>
                <w:sz w:val="22"/>
                <w:szCs w:val="22"/>
              </w:rPr>
              <w:t>第一等第</w:t>
            </w:r>
          </w:p>
        </w:tc>
        <w:tc>
          <w:tcPr>
            <w:tcW w:w="1369" w:type="dxa"/>
            <w:vAlign w:val="center"/>
          </w:tcPr>
          <w:p w14:paraId="19CB4A43">
            <w:pPr>
              <w:spacing w:line="360" w:lineRule="auto"/>
              <w:jc w:val="center"/>
              <w:rPr>
                <w:sz w:val="22"/>
                <w:szCs w:val="22"/>
              </w:rPr>
            </w:pPr>
            <w:r>
              <w:rPr>
                <w:sz w:val="22"/>
                <w:szCs w:val="22"/>
              </w:rPr>
              <w:t>6</w:t>
            </w:r>
          </w:p>
        </w:tc>
      </w:tr>
      <w:tr w14:paraId="7095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02DCCB9D">
            <w:pPr>
              <w:spacing w:line="360" w:lineRule="auto"/>
              <w:jc w:val="center"/>
              <w:rPr>
                <w:rFonts w:ascii="宋体" w:hAnsi="宋体"/>
                <w:sz w:val="22"/>
              </w:rPr>
            </w:pPr>
          </w:p>
        </w:tc>
        <w:tc>
          <w:tcPr>
            <w:tcW w:w="3843" w:type="dxa"/>
            <w:vMerge w:val="continue"/>
            <w:shd w:val="clear" w:color="auto" w:fill="auto"/>
            <w:vAlign w:val="center"/>
          </w:tcPr>
          <w:p w14:paraId="0DDD2390">
            <w:pPr>
              <w:spacing w:line="360" w:lineRule="auto"/>
              <w:jc w:val="center"/>
              <w:rPr>
                <w:rFonts w:ascii="宋体" w:hAnsi="宋体"/>
                <w:sz w:val="22"/>
              </w:rPr>
            </w:pPr>
          </w:p>
        </w:tc>
        <w:tc>
          <w:tcPr>
            <w:tcW w:w="1812" w:type="dxa"/>
            <w:vAlign w:val="center"/>
          </w:tcPr>
          <w:p w14:paraId="19F12B31">
            <w:pPr>
              <w:spacing w:line="360" w:lineRule="auto"/>
              <w:jc w:val="center"/>
              <w:rPr>
                <w:sz w:val="22"/>
                <w:szCs w:val="22"/>
              </w:rPr>
            </w:pPr>
            <w:r>
              <w:rPr>
                <w:rFonts w:hint="eastAsia"/>
                <w:sz w:val="22"/>
                <w:szCs w:val="22"/>
              </w:rPr>
              <w:t>第二等第</w:t>
            </w:r>
          </w:p>
        </w:tc>
        <w:tc>
          <w:tcPr>
            <w:tcW w:w="1369" w:type="dxa"/>
            <w:vAlign w:val="center"/>
          </w:tcPr>
          <w:p w14:paraId="6FD84159">
            <w:pPr>
              <w:spacing w:line="360" w:lineRule="auto"/>
              <w:jc w:val="center"/>
              <w:rPr>
                <w:sz w:val="22"/>
                <w:szCs w:val="22"/>
              </w:rPr>
            </w:pPr>
            <w:r>
              <w:rPr>
                <w:sz w:val="22"/>
                <w:szCs w:val="22"/>
              </w:rPr>
              <w:t>3</w:t>
            </w:r>
          </w:p>
        </w:tc>
      </w:tr>
      <w:tr w14:paraId="4FE5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19DDC6E6">
            <w:pPr>
              <w:spacing w:line="360" w:lineRule="auto"/>
              <w:jc w:val="center"/>
              <w:rPr>
                <w:rFonts w:ascii="宋体" w:hAnsi="宋体"/>
                <w:sz w:val="22"/>
              </w:rPr>
            </w:pPr>
          </w:p>
        </w:tc>
        <w:tc>
          <w:tcPr>
            <w:tcW w:w="3843" w:type="dxa"/>
            <w:vMerge w:val="continue"/>
            <w:shd w:val="clear" w:color="auto" w:fill="auto"/>
            <w:vAlign w:val="center"/>
          </w:tcPr>
          <w:p w14:paraId="3478F05D">
            <w:pPr>
              <w:spacing w:line="360" w:lineRule="auto"/>
              <w:jc w:val="center"/>
              <w:rPr>
                <w:rFonts w:ascii="宋体" w:hAnsi="宋体"/>
                <w:sz w:val="22"/>
              </w:rPr>
            </w:pPr>
          </w:p>
        </w:tc>
        <w:tc>
          <w:tcPr>
            <w:tcW w:w="1812" w:type="dxa"/>
            <w:vAlign w:val="center"/>
          </w:tcPr>
          <w:p w14:paraId="65D22C76">
            <w:pPr>
              <w:spacing w:line="360" w:lineRule="auto"/>
              <w:jc w:val="center"/>
              <w:rPr>
                <w:sz w:val="22"/>
                <w:szCs w:val="22"/>
              </w:rPr>
            </w:pPr>
            <w:r>
              <w:rPr>
                <w:rFonts w:hint="eastAsia"/>
                <w:sz w:val="22"/>
                <w:szCs w:val="22"/>
              </w:rPr>
              <w:t>第三等第</w:t>
            </w:r>
          </w:p>
        </w:tc>
        <w:tc>
          <w:tcPr>
            <w:tcW w:w="1369" w:type="dxa"/>
            <w:vAlign w:val="center"/>
          </w:tcPr>
          <w:p w14:paraId="075D28A3">
            <w:pPr>
              <w:spacing w:line="360" w:lineRule="auto"/>
              <w:jc w:val="center"/>
              <w:rPr>
                <w:sz w:val="22"/>
                <w:szCs w:val="22"/>
              </w:rPr>
            </w:pPr>
            <w:r>
              <w:rPr>
                <w:sz w:val="22"/>
                <w:szCs w:val="22"/>
              </w:rPr>
              <w:t>2</w:t>
            </w:r>
          </w:p>
        </w:tc>
      </w:tr>
      <w:tr w14:paraId="74E8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2E8AB410">
            <w:pPr>
              <w:spacing w:line="360" w:lineRule="auto"/>
              <w:jc w:val="center"/>
              <w:rPr>
                <w:rFonts w:ascii="宋体" w:hAnsi="宋体"/>
                <w:sz w:val="22"/>
              </w:rPr>
            </w:pPr>
          </w:p>
        </w:tc>
        <w:tc>
          <w:tcPr>
            <w:tcW w:w="3843" w:type="dxa"/>
            <w:vMerge w:val="restart"/>
            <w:shd w:val="clear" w:color="auto" w:fill="auto"/>
            <w:vAlign w:val="center"/>
          </w:tcPr>
          <w:p w14:paraId="7D341071">
            <w:pPr>
              <w:spacing w:line="360" w:lineRule="auto"/>
              <w:jc w:val="center"/>
              <w:rPr>
                <w:rFonts w:ascii="宋体" w:hAnsi="宋体"/>
                <w:color w:val="000000" w:themeColor="text1"/>
                <w:sz w:val="22"/>
              </w:rPr>
            </w:pPr>
            <w:r>
              <w:rPr>
                <w:rFonts w:hint="eastAsia" w:ascii="宋体" w:hAnsi="宋体"/>
                <w:color w:val="000000" w:themeColor="text1"/>
                <w:sz w:val="22"/>
              </w:rPr>
              <w:t>“创青春”中国青年创新创业大赛</w:t>
            </w:r>
          </w:p>
        </w:tc>
        <w:tc>
          <w:tcPr>
            <w:tcW w:w="1812" w:type="dxa"/>
            <w:vAlign w:val="center"/>
          </w:tcPr>
          <w:p w14:paraId="084EBC50">
            <w:pPr>
              <w:spacing w:line="360" w:lineRule="auto"/>
              <w:jc w:val="center"/>
              <w:rPr>
                <w:color w:val="000000" w:themeColor="text1"/>
                <w:sz w:val="22"/>
                <w:szCs w:val="22"/>
              </w:rPr>
            </w:pPr>
            <w:r>
              <w:rPr>
                <w:rFonts w:hint="eastAsia"/>
                <w:color w:val="000000" w:themeColor="text1"/>
                <w:sz w:val="22"/>
                <w:szCs w:val="22"/>
              </w:rPr>
              <w:t>第一等第</w:t>
            </w:r>
          </w:p>
        </w:tc>
        <w:tc>
          <w:tcPr>
            <w:tcW w:w="1369" w:type="dxa"/>
            <w:vAlign w:val="center"/>
          </w:tcPr>
          <w:p w14:paraId="093832A7">
            <w:pPr>
              <w:spacing w:line="360" w:lineRule="auto"/>
              <w:jc w:val="center"/>
              <w:rPr>
                <w:color w:val="000000" w:themeColor="text1"/>
                <w:sz w:val="22"/>
                <w:szCs w:val="22"/>
              </w:rPr>
            </w:pPr>
            <w:r>
              <w:rPr>
                <w:color w:val="000000" w:themeColor="text1"/>
                <w:sz w:val="22"/>
                <w:szCs w:val="22"/>
              </w:rPr>
              <w:t>6</w:t>
            </w:r>
          </w:p>
        </w:tc>
      </w:tr>
      <w:tr w14:paraId="348C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078FBF4E">
            <w:pPr>
              <w:spacing w:line="360" w:lineRule="auto"/>
              <w:jc w:val="center"/>
              <w:rPr>
                <w:rFonts w:ascii="宋体" w:hAnsi="宋体"/>
                <w:sz w:val="22"/>
              </w:rPr>
            </w:pPr>
          </w:p>
        </w:tc>
        <w:tc>
          <w:tcPr>
            <w:tcW w:w="3843" w:type="dxa"/>
            <w:vMerge w:val="continue"/>
            <w:shd w:val="clear" w:color="auto" w:fill="auto"/>
            <w:vAlign w:val="center"/>
          </w:tcPr>
          <w:p w14:paraId="42C76B26">
            <w:pPr>
              <w:spacing w:line="360" w:lineRule="auto"/>
              <w:jc w:val="center"/>
              <w:rPr>
                <w:rFonts w:ascii="宋体" w:hAnsi="宋体"/>
                <w:color w:val="000000" w:themeColor="text1"/>
                <w:sz w:val="22"/>
              </w:rPr>
            </w:pPr>
          </w:p>
        </w:tc>
        <w:tc>
          <w:tcPr>
            <w:tcW w:w="1812" w:type="dxa"/>
            <w:vAlign w:val="center"/>
          </w:tcPr>
          <w:p w14:paraId="04B71667">
            <w:pPr>
              <w:spacing w:line="360" w:lineRule="auto"/>
              <w:jc w:val="center"/>
              <w:rPr>
                <w:color w:val="000000" w:themeColor="text1"/>
                <w:sz w:val="22"/>
                <w:szCs w:val="22"/>
              </w:rPr>
            </w:pPr>
            <w:r>
              <w:rPr>
                <w:rFonts w:hint="eastAsia"/>
                <w:color w:val="000000" w:themeColor="text1"/>
                <w:sz w:val="22"/>
                <w:szCs w:val="22"/>
              </w:rPr>
              <w:t>第二等第</w:t>
            </w:r>
          </w:p>
        </w:tc>
        <w:tc>
          <w:tcPr>
            <w:tcW w:w="1369" w:type="dxa"/>
            <w:vAlign w:val="center"/>
          </w:tcPr>
          <w:p w14:paraId="67C88B8A">
            <w:pPr>
              <w:spacing w:line="360" w:lineRule="auto"/>
              <w:jc w:val="center"/>
              <w:rPr>
                <w:color w:val="000000" w:themeColor="text1"/>
                <w:sz w:val="22"/>
                <w:szCs w:val="22"/>
              </w:rPr>
            </w:pPr>
            <w:r>
              <w:rPr>
                <w:color w:val="000000" w:themeColor="text1"/>
                <w:sz w:val="22"/>
                <w:szCs w:val="22"/>
              </w:rPr>
              <w:t>3</w:t>
            </w:r>
          </w:p>
        </w:tc>
      </w:tr>
      <w:tr w14:paraId="417B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1399731F">
            <w:pPr>
              <w:spacing w:line="360" w:lineRule="auto"/>
              <w:jc w:val="center"/>
              <w:rPr>
                <w:rFonts w:ascii="宋体" w:hAnsi="宋体"/>
                <w:sz w:val="22"/>
              </w:rPr>
            </w:pPr>
          </w:p>
        </w:tc>
        <w:tc>
          <w:tcPr>
            <w:tcW w:w="3843" w:type="dxa"/>
            <w:vMerge w:val="continue"/>
            <w:shd w:val="clear" w:color="auto" w:fill="auto"/>
            <w:vAlign w:val="center"/>
          </w:tcPr>
          <w:p w14:paraId="52B51602">
            <w:pPr>
              <w:spacing w:line="360" w:lineRule="auto"/>
              <w:jc w:val="center"/>
              <w:rPr>
                <w:rFonts w:ascii="宋体" w:hAnsi="宋体"/>
                <w:color w:val="000000" w:themeColor="text1"/>
                <w:sz w:val="22"/>
              </w:rPr>
            </w:pPr>
          </w:p>
        </w:tc>
        <w:tc>
          <w:tcPr>
            <w:tcW w:w="1812" w:type="dxa"/>
            <w:vAlign w:val="center"/>
          </w:tcPr>
          <w:p w14:paraId="3783293D">
            <w:pPr>
              <w:spacing w:line="360" w:lineRule="auto"/>
              <w:jc w:val="center"/>
              <w:rPr>
                <w:color w:val="000000" w:themeColor="text1"/>
                <w:sz w:val="22"/>
                <w:szCs w:val="22"/>
              </w:rPr>
            </w:pPr>
            <w:r>
              <w:rPr>
                <w:rFonts w:hint="eastAsia"/>
                <w:color w:val="000000" w:themeColor="text1"/>
                <w:sz w:val="22"/>
                <w:szCs w:val="22"/>
              </w:rPr>
              <w:t>第三等第</w:t>
            </w:r>
          </w:p>
        </w:tc>
        <w:tc>
          <w:tcPr>
            <w:tcW w:w="1369" w:type="dxa"/>
            <w:vAlign w:val="center"/>
          </w:tcPr>
          <w:p w14:paraId="67CEC5D3">
            <w:pPr>
              <w:spacing w:line="360" w:lineRule="auto"/>
              <w:jc w:val="center"/>
              <w:rPr>
                <w:color w:val="000000" w:themeColor="text1"/>
                <w:sz w:val="22"/>
                <w:szCs w:val="22"/>
              </w:rPr>
            </w:pPr>
            <w:r>
              <w:rPr>
                <w:color w:val="000000" w:themeColor="text1"/>
                <w:sz w:val="22"/>
                <w:szCs w:val="22"/>
              </w:rPr>
              <w:t>2</w:t>
            </w:r>
          </w:p>
        </w:tc>
      </w:tr>
      <w:tr w14:paraId="331E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1BA702CA">
            <w:pPr>
              <w:spacing w:line="360" w:lineRule="auto"/>
              <w:jc w:val="center"/>
              <w:rPr>
                <w:rFonts w:ascii="宋体" w:hAnsi="宋体"/>
                <w:sz w:val="22"/>
              </w:rPr>
            </w:pPr>
            <w:bookmarkStart w:id="0" w:name="_Hlk72418941"/>
          </w:p>
        </w:tc>
        <w:tc>
          <w:tcPr>
            <w:tcW w:w="3843" w:type="dxa"/>
            <w:vMerge w:val="restart"/>
            <w:shd w:val="clear" w:color="auto" w:fill="auto"/>
            <w:vAlign w:val="center"/>
          </w:tcPr>
          <w:p w14:paraId="3E560079">
            <w:pPr>
              <w:spacing w:line="360" w:lineRule="auto"/>
              <w:jc w:val="center"/>
              <w:rPr>
                <w:rFonts w:ascii="宋体" w:hAnsi="宋体"/>
                <w:color w:val="000000" w:themeColor="text1"/>
                <w:sz w:val="22"/>
              </w:rPr>
            </w:pPr>
            <w:r>
              <w:rPr>
                <w:rFonts w:hint="eastAsia" w:ascii="宋体" w:hAnsi="宋体"/>
                <w:color w:val="000000" w:themeColor="text1"/>
                <w:sz w:val="22"/>
              </w:rPr>
              <w:t>“中国创翼”创业创新大赛</w:t>
            </w:r>
          </w:p>
        </w:tc>
        <w:tc>
          <w:tcPr>
            <w:tcW w:w="1812" w:type="dxa"/>
            <w:vAlign w:val="center"/>
          </w:tcPr>
          <w:p w14:paraId="02E68E55">
            <w:pPr>
              <w:spacing w:line="360" w:lineRule="auto"/>
              <w:jc w:val="center"/>
              <w:rPr>
                <w:color w:val="000000" w:themeColor="text1"/>
                <w:sz w:val="22"/>
                <w:szCs w:val="22"/>
              </w:rPr>
            </w:pPr>
            <w:r>
              <w:rPr>
                <w:rFonts w:hint="eastAsia"/>
                <w:color w:val="000000" w:themeColor="text1"/>
                <w:sz w:val="22"/>
                <w:szCs w:val="22"/>
              </w:rPr>
              <w:t>第一等第</w:t>
            </w:r>
          </w:p>
        </w:tc>
        <w:tc>
          <w:tcPr>
            <w:tcW w:w="1369" w:type="dxa"/>
            <w:vAlign w:val="center"/>
          </w:tcPr>
          <w:p w14:paraId="0DD1C658">
            <w:pPr>
              <w:spacing w:line="360" w:lineRule="auto"/>
              <w:jc w:val="center"/>
              <w:rPr>
                <w:color w:val="000000" w:themeColor="text1"/>
                <w:sz w:val="22"/>
                <w:szCs w:val="22"/>
              </w:rPr>
            </w:pPr>
            <w:r>
              <w:rPr>
                <w:color w:val="000000" w:themeColor="text1"/>
                <w:sz w:val="22"/>
                <w:szCs w:val="22"/>
              </w:rPr>
              <w:t>6</w:t>
            </w:r>
          </w:p>
        </w:tc>
      </w:tr>
      <w:tr w14:paraId="24E2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5DE0C847">
            <w:pPr>
              <w:spacing w:line="360" w:lineRule="auto"/>
              <w:jc w:val="center"/>
              <w:rPr>
                <w:rFonts w:ascii="宋体" w:hAnsi="宋体"/>
                <w:sz w:val="22"/>
              </w:rPr>
            </w:pPr>
          </w:p>
        </w:tc>
        <w:tc>
          <w:tcPr>
            <w:tcW w:w="3843" w:type="dxa"/>
            <w:vMerge w:val="continue"/>
            <w:shd w:val="clear" w:color="auto" w:fill="auto"/>
            <w:vAlign w:val="center"/>
          </w:tcPr>
          <w:p w14:paraId="051FE0BC">
            <w:pPr>
              <w:spacing w:line="360" w:lineRule="auto"/>
              <w:jc w:val="center"/>
              <w:rPr>
                <w:rFonts w:ascii="宋体" w:hAnsi="宋体"/>
                <w:color w:val="000000" w:themeColor="text1"/>
                <w:sz w:val="22"/>
              </w:rPr>
            </w:pPr>
          </w:p>
        </w:tc>
        <w:tc>
          <w:tcPr>
            <w:tcW w:w="1812" w:type="dxa"/>
            <w:vAlign w:val="center"/>
          </w:tcPr>
          <w:p w14:paraId="70E64F42">
            <w:pPr>
              <w:spacing w:line="360" w:lineRule="auto"/>
              <w:jc w:val="center"/>
              <w:rPr>
                <w:color w:val="000000" w:themeColor="text1"/>
                <w:sz w:val="22"/>
                <w:szCs w:val="22"/>
              </w:rPr>
            </w:pPr>
            <w:r>
              <w:rPr>
                <w:rFonts w:hint="eastAsia"/>
                <w:color w:val="000000" w:themeColor="text1"/>
                <w:sz w:val="22"/>
                <w:szCs w:val="22"/>
              </w:rPr>
              <w:t>第二等第</w:t>
            </w:r>
          </w:p>
        </w:tc>
        <w:tc>
          <w:tcPr>
            <w:tcW w:w="1369" w:type="dxa"/>
            <w:vAlign w:val="center"/>
          </w:tcPr>
          <w:p w14:paraId="451F8076">
            <w:pPr>
              <w:spacing w:line="360" w:lineRule="auto"/>
              <w:jc w:val="center"/>
              <w:rPr>
                <w:color w:val="000000" w:themeColor="text1"/>
                <w:sz w:val="22"/>
                <w:szCs w:val="22"/>
              </w:rPr>
            </w:pPr>
            <w:r>
              <w:rPr>
                <w:color w:val="000000" w:themeColor="text1"/>
                <w:sz w:val="22"/>
                <w:szCs w:val="22"/>
              </w:rPr>
              <w:t>3</w:t>
            </w:r>
          </w:p>
        </w:tc>
      </w:tr>
      <w:tr w14:paraId="6E0D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1A3137B6">
            <w:pPr>
              <w:spacing w:line="360" w:lineRule="auto"/>
              <w:jc w:val="center"/>
              <w:rPr>
                <w:rFonts w:ascii="宋体" w:hAnsi="宋体"/>
                <w:sz w:val="22"/>
              </w:rPr>
            </w:pPr>
          </w:p>
        </w:tc>
        <w:tc>
          <w:tcPr>
            <w:tcW w:w="3843" w:type="dxa"/>
            <w:vMerge w:val="continue"/>
            <w:shd w:val="clear" w:color="auto" w:fill="auto"/>
            <w:vAlign w:val="center"/>
          </w:tcPr>
          <w:p w14:paraId="3B9023EB">
            <w:pPr>
              <w:spacing w:line="360" w:lineRule="auto"/>
              <w:jc w:val="center"/>
              <w:rPr>
                <w:rFonts w:ascii="宋体" w:hAnsi="宋体"/>
                <w:color w:val="000000" w:themeColor="text1"/>
                <w:sz w:val="22"/>
              </w:rPr>
            </w:pPr>
          </w:p>
        </w:tc>
        <w:tc>
          <w:tcPr>
            <w:tcW w:w="1812" w:type="dxa"/>
            <w:vAlign w:val="center"/>
          </w:tcPr>
          <w:p w14:paraId="312E87CD">
            <w:pPr>
              <w:spacing w:line="360" w:lineRule="auto"/>
              <w:jc w:val="center"/>
              <w:rPr>
                <w:color w:val="000000" w:themeColor="text1"/>
                <w:sz w:val="22"/>
                <w:szCs w:val="22"/>
              </w:rPr>
            </w:pPr>
            <w:r>
              <w:rPr>
                <w:rFonts w:hint="eastAsia"/>
                <w:color w:val="000000" w:themeColor="text1"/>
                <w:sz w:val="22"/>
                <w:szCs w:val="22"/>
              </w:rPr>
              <w:t>第三等第</w:t>
            </w:r>
          </w:p>
        </w:tc>
        <w:tc>
          <w:tcPr>
            <w:tcW w:w="1369" w:type="dxa"/>
            <w:vAlign w:val="center"/>
          </w:tcPr>
          <w:p w14:paraId="6C2A07FE">
            <w:pPr>
              <w:spacing w:line="360" w:lineRule="auto"/>
              <w:jc w:val="center"/>
              <w:rPr>
                <w:color w:val="000000" w:themeColor="text1"/>
                <w:sz w:val="22"/>
                <w:szCs w:val="22"/>
              </w:rPr>
            </w:pPr>
            <w:r>
              <w:rPr>
                <w:color w:val="000000" w:themeColor="text1"/>
                <w:sz w:val="22"/>
                <w:szCs w:val="22"/>
              </w:rPr>
              <w:t>2</w:t>
            </w:r>
          </w:p>
        </w:tc>
      </w:tr>
      <w:tr w14:paraId="04AF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11EBCA99">
            <w:pPr>
              <w:spacing w:line="360" w:lineRule="auto"/>
              <w:jc w:val="center"/>
              <w:rPr>
                <w:rFonts w:ascii="宋体" w:hAnsi="宋体"/>
                <w:sz w:val="22"/>
              </w:rPr>
            </w:pPr>
          </w:p>
        </w:tc>
        <w:tc>
          <w:tcPr>
            <w:tcW w:w="3843" w:type="dxa"/>
            <w:vMerge w:val="restart"/>
            <w:shd w:val="clear" w:color="auto" w:fill="auto"/>
            <w:vAlign w:val="center"/>
          </w:tcPr>
          <w:p w14:paraId="1E8DC07A">
            <w:pPr>
              <w:spacing w:line="360" w:lineRule="auto"/>
              <w:jc w:val="center"/>
              <w:rPr>
                <w:rFonts w:ascii="宋体" w:hAnsi="宋体"/>
                <w:color w:val="000000" w:themeColor="text1"/>
                <w:sz w:val="22"/>
              </w:rPr>
            </w:pPr>
            <w:r>
              <w:rPr>
                <w:rFonts w:hint="eastAsia" w:ascii="宋体" w:hAnsi="宋体"/>
                <w:color w:val="000000" w:themeColor="text1"/>
                <w:sz w:val="22"/>
              </w:rPr>
              <w:t>“京津冀-粤港澳”青年创新创业大赛</w:t>
            </w:r>
          </w:p>
        </w:tc>
        <w:tc>
          <w:tcPr>
            <w:tcW w:w="1812" w:type="dxa"/>
            <w:vAlign w:val="center"/>
          </w:tcPr>
          <w:p w14:paraId="6BE5A730">
            <w:pPr>
              <w:spacing w:line="360" w:lineRule="auto"/>
              <w:jc w:val="center"/>
              <w:rPr>
                <w:color w:val="000000" w:themeColor="text1"/>
                <w:sz w:val="22"/>
                <w:szCs w:val="22"/>
              </w:rPr>
            </w:pPr>
            <w:r>
              <w:rPr>
                <w:rFonts w:hint="eastAsia"/>
                <w:color w:val="000000" w:themeColor="text1"/>
                <w:sz w:val="22"/>
                <w:szCs w:val="22"/>
              </w:rPr>
              <w:t>第一等第</w:t>
            </w:r>
          </w:p>
        </w:tc>
        <w:tc>
          <w:tcPr>
            <w:tcW w:w="1369" w:type="dxa"/>
            <w:vAlign w:val="center"/>
          </w:tcPr>
          <w:p w14:paraId="19B07823">
            <w:pPr>
              <w:spacing w:line="360" w:lineRule="auto"/>
              <w:jc w:val="center"/>
              <w:rPr>
                <w:color w:val="000000" w:themeColor="text1"/>
                <w:sz w:val="22"/>
                <w:szCs w:val="22"/>
              </w:rPr>
            </w:pPr>
            <w:r>
              <w:rPr>
                <w:color w:val="000000" w:themeColor="text1"/>
                <w:sz w:val="22"/>
                <w:szCs w:val="22"/>
              </w:rPr>
              <w:t>6</w:t>
            </w:r>
          </w:p>
        </w:tc>
      </w:tr>
      <w:tr w14:paraId="5E08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271D6B4A">
            <w:pPr>
              <w:spacing w:line="360" w:lineRule="auto"/>
              <w:jc w:val="center"/>
              <w:rPr>
                <w:rFonts w:ascii="宋体" w:hAnsi="宋体"/>
                <w:sz w:val="22"/>
              </w:rPr>
            </w:pPr>
          </w:p>
        </w:tc>
        <w:tc>
          <w:tcPr>
            <w:tcW w:w="3843" w:type="dxa"/>
            <w:vMerge w:val="continue"/>
            <w:shd w:val="clear" w:color="auto" w:fill="auto"/>
            <w:vAlign w:val="center"/>
          </w:tcPr>
          <w:p w14:paraId="2F4745E8">
            <w:pPr>
              <w:spacing w:line="360" w:lineRule="auto"/>
              <w:jc w:val="center"/>
              <w:rPr>
                <w:rFonts w:ascii="宋体" w:hAnsi="宋体"/>
                <w:color w:val="000000" w:themeColor="text1"/>
                <w:sz w:val="22"/>
              </w:rPr>
            </w:pPr>
          </w:p>
        </w:tc>
        <w:tc>
          <w:tcPr>
            <w:tcW w:w="1812" w:type="dxa"/>
            <w:vAlign w:val="center"/>
          </w:tcPr>
          <w:p w14:paraId="507ADBC9">
            <w:pPr>
              <w:spacing w:line="360" w:lineRule="auto"/>
              <w:jc w:val="center"/>
              <w:rPr>
                <w:color w:val="000000" w:themeColor="text1"/>
                <w:sz w:val="22"/>
                <w:szCs w:val="22"/>
              </w:rPr>
            </w:pPr>
            <w:r>
              <w:rPr>
                <w:rFonts w:hint="eastAsia"/>
                <w:color w:val="000000" w:themeColor="text1"/>
                <w:sz w:val="22"/>
                <w:szCs w:val="22"/>
              </w:rPr>
              <w:t>第二等第</w:t>
            </w:r>
          </w:p>
        </w:tc>
        <w:tc>
          <w:tcPr>
            <w:tcW w:w="1369" w:type="dxa"/>
            <w:vAlign w:val="center"/>
          </w:tcPr>
          <w:p w14:paraId="19F808D3">
            <w:pPr>
              <w:spacing w:line="360" w:lineRule="auto"/>
              <w:jc w:val="center"/>
              <w:rPr>
                <w:color w:val="000000" w:themeColor="text1"/>
                <w:sz w:val="22"/>
                <w:szCs w:val="22"/>
              </w:rPr>
            </w:pPr>
            <w:r>
              <w:rPr>
                <w:color w:val="000000" w:themeColor="text1"/>
                <w:sz w:val="22"/>
                <w:szCs w:val="22"/>
              </w:rPr>
              <w:t>3</w:t>
            </w:r>
          </w:p>
        </w:tc>
      </w:tr>
      <w:tr w14:paraId="0CB1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7E219324">
            <w:pPr>
              <w:spacing w:line="360" w:lineRule="auto"/>
              <w:jc w:val="center"/>
              <w:rPr>
                <w:rFonts w:ascii="宋体" w:hAnsi="宋体"/>
                <w:sz w:val="22"/>
              </w:rPr>
            </w:pPr>
          </w:p>
        </w:tc>
        <w:tc>
          <w:tcPr>
            <w:tcW w:w="3843" w:type="dxa"/>
            <w:vMerge w:val="continue"/>
            <w:shd w:val="clear" w:color="auto" w:fill="auto"/>
            <w:vAlign w:val="center"/>
          </w:tcPr>
          <w:p w14:paraId="2F98503E">
            <w:pPr>
              <w:spacing w:line="360" w:lineRule="auto"/>
              <w:jc w:val="center"/>
              <w:rPr>
                <w:rFonts w:ascii="宋体" w:hAnsi="宋体"/>
                <w:color w:val="000000" w:themeColor="text1"/>
                <w:sz w:val="22"/>
              </w:rPr>
            </w:pPr>
          </w:p>
        </w:tc>
        <w:tc>
          <w:tcPr>
            <w:tcW w:w="1812" w:type="dxa"/>
            <w:vAlign w:val="center"/>
          </w:tcPr>
          <w:p w14:paraId="5BA77A8A">
            <w:pPr>
              <w:spacing w:line="360" w:lineRule="auto"/>
              <w:jc w:val="center"/>
              <w:rPr>
                <w:color w:val="000000" w:themeColor="text1"/>
                <w:sz w:val="22"/>
                <w:szCs w:val="22"/>
              </w:rPr>
            </w:pPr>
            <w:r>
              <w:rPr>
                <w:rFonts w:hint="eastAsia"/>
                <w:color w:val="000000" w:themeColor="text1"/>
                <w:sz w:val="22"/>
                <w:szCs w:val="22"/>
              </w:rPr>
              <w:t>第三等第</w:t>
            </w:r>
          </w:p>
        </w:tc>
        <w:tc>
          <w:tcPr>
            <w:tcW w:w="1369" w:type="dxa"/>
            <w:vAlign w:val="center"/>
          </w:tcPr>
          <w:p w14:paraId="53D73675">
            <w:pPr>
              <w:spacing w:line="360" w:lineRule="auto"/>
              <w:jc w:val="center"/>
              <w:rPr>
                <w:color w:val="000000" w:themeColor="text1"/>
                <w:sz w:val="22"/>
                <w:szCs w:val="22"/>
              </w:rPr>
            </w:pPr>
            <w:r>
              <w:rPr>
                <w:color w:val="000000" w:themeColor="text1"/>
                <w:sz w:val="22"/>
                <w:szCs w:val="22"/>
              </w:rPr>
              <w:t>2</w:t>
            </w:r>
          </w:p>
        </w:tc>
      </w:tr>
      <w:tr w14:paraId="1FE7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2C0C19F6">
            <w:pPr>
              <w:spacing w:line="360" w:lineRule="auto"/>
              <w:jc w:val="center"/>
              <w:rPr>
                <w:rFonts w:ascii="宋体" w:hAnsi="宋体"/>
                <w:sz w:val="22"/>
              </w:rPr>
            </w:pPr>
          </w:p>
        </w:tc>
        <w:tc>
          <w:tcPr>
            <w:tcW w:w="3843" w:type="dxa"/>
            <w:vMerge w:val="restart"/>
            <w:shd w:val="clear" w:color="auto" w:fill="auto"/>
            <w:vAlign w:val="center"/>
          </w:tcPr>
          <w:p w14:paraId="023BDE43">
            <w:pPr>
              <w:spacing w:line="360" w:lineRule="auto"/>
              <w:jc w:val="center"/>
              <w:rPr>
                <w:rFonts w:ascii="宋体" w:hAnsi="宋体"/>
                <w:color w:val="000000" w:themeColor="text1"/>
                <w:sz w:val="22"/>
              </w:rPr>
            </w:pPr>
            <w:r>
              <w:rPr>
                <w:rFonts w:hint="eastAsia" w:ascii="宋体" w:hAnsi="宋体"/>
                <w:color w:val="000000" w:themeColor="text1"/>
                <w:sz w:val="22"/>
              </w:rPr>
              <w:t>“上证杯”“海聚英才”上海大学生创新创业大赛</w:t>
            </w:r>
          </w:p>
        </w:tc>
        <w:tc>
          <w:tcPr>
            <w:tcW w:w="1812" w:type="dxa"/>
            <w:shd w:val="clear" w:color="auto" w:fill="auto"/>
            <w:vAlign w:val="center"/>
          </w:tcPr>
          <w:p w14:paraId="5BD744DF">
            <w:pPr>
              <w:spacing w:line="360" w:lineRule="auto"/>
              <w:jc w:val="center"/>
              <w:rPr>
                <w:rFonts w:hint="eastAsia"/>
                <w:color w:val="000000" w:themeColor="text1"/>
                <w:sz w:val="22"/>
                <w:szCs w:val="22"/>
                <w:lang w:val="en-US" w:eastAsia="zh-CN"/>
              </w:rPr>
            </w:pPr>
            <w:r>
              <w:rPr>
                <w:rFonts w:hint="eastAsia"/>
                <w:color w:val="000000" w:themeColor="text1"/>
                <w:sz w:val="22"/>
                <w:szCs w:val="22"/>
              </w:rPr>
              <w:t>第一等第</w:t>
            </w:r>
          </w:p>
        </w:tc>
        <w:tc>
          <w:tcPr>
            <w:tcW w:w="1369" w:type="dxa"/>
            <w:vAlign w:val="center"/>
          </w:tcPr>
          <w:p w14:paraId="36CC4A90">
            <w:pPr>
              <w:spacing w:line="360" w:lineRule="auto"/>
              <w:jc w:val="center"/>
              <w:rPr>
                <w:rFonts w:hint="eastAsia"/>
                <w:color w:val="000000" w:themeColor="text1"/>
                <w:sz w:val="22"/>
                <w:szCs w:val="22"/>
                <w:lang w:val="en-US" w:eastAsia="zh-CN"/>
              </w:rPr>
            </w:pPr>
            <w:r>
              <w:rPr>
                <w:color w:val="000000" w:themeColor="text1"/>
                <w:sz w:val="22"/>
                <w:szCs w:val="22"/>
              </w:rPr>
              <w:t>6</w:t>
            </w:r>
          </w:p>
        </w:tc>
      </w:tr>
      <w:tr w14:paraId="06BBB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56687547">
            <w:pPr>
              <w:spacing w:line="360" w:lineRule="auto"/>
              <w:jc w:val="center"/>
              <w:rPr>
                <w:rFonts w:ascii="宋体" w:hAnsi="宋体"/>
                <w:sz w:val="22"/>
              </w:rPr>
            </w:pPr>
          </w:p>
        </w:tc>
        <w:tc>
          <w:tcPr>
            <w:tcW w:w="3843" w:type="dxa"/>
            <w:vMerge w:val="continue"/>
            <w:shd w:val="clear" w:color="auto" w:fill="auto"/>
            <w:vAlign w:val="center"/>
          </w:tcPr>
          <w:p w14:paraId="18A872AA">
            <w:pPr>
              <w:spacing w:line="360" w:lineRule="auto"/>
              <w:jc w:val="center"/>
              <w:rPr>
                <w:rFonts w:ascii="宋体" w:hAnsi="宋体"/>
                <w:color w:val="000000" w:themeColor="text1"/>
                <w:sz w:val="22"/>
              </w:rPr>
            </w:pPr>
          </w:p>
        </w:tc>
        <w:tc>
          <w:tcPr>
            <w:tcW w:w="1812" w:type="dxa"/>
            <w:shd w:val="clear" w:color="auto" w:fill="auto"/>
            <w:vAlign w:val="center"/>
          </w:tcPr>
          <w:p w14:paraId="07057E40">
            <w:pPr>
              <w:spacing w:line="360" w:lineRule="auto"/>
              <w:jc w:val="center"/>
              <w:rPr>
                <w:rFonts w:hint="eastAsia"/>
                <w:color w:val="000000" w:themeColor="text1"/>
                <w:sz w:val="22"/>
                <w:szCs w:val="22"/>
                <w:lang w:val="en-US" w:eastAsia="zh-CN"/>
              </w:rPr>
            </w:pPr>
            <w:r>
              <w:rPr>
                <w:rFonts w:hint="eastAsia"/>
                <w:color w:val="000000" w:themeColor="text1"/>
                <w:sz w:val="22"/>
                <w:szCs w:val="22"/>
              </w:rPr>
              <w:t>第二等第</w:t>
            </w:r>
          </w:p>
        </w:tc>
        <w:tc>
          <w:tcPr>
            <w:tcW w:w="1369" w:type="dxa"/>
            <w:vAlign w:val="center"/>
          </w:tcPr>
          <w:p w14:paraId="46C33E0B">
            <w:pPr>
              <w:spacing w:line="360" w:lineRule="auto"/>
              <w:jc w:val="center"/>
              <w:rPr>
                <w:rFonts w:hint="eastAsia"/>
                <w:color w:val="000000" w:themeColor="text1"/>
                <w:sz w:val="22"/>
                <w:szCs w:val="22"/>
                <w:lang w:val="en-US" w:eastAsia="zh-CN"/>
              </w:rPr>
            </w:pPr>
            <w:r>
              <w:rPr>
                <w:color w:val="000000" w:themeColor="text1"/>
                <w:sz w:val="22"/>
                <w:szCs w:val="22"/>
              </w:rPr>
              <w:t>3</w:t>
            </w:r>
          </w:p>
        </w:tc>
      </w:tr>
      <w:tr w14:paraId="02EB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43642BC2">
            <w:pPr>
              <w:spacing w:line="360" w:lineRule="auto"/>
              <w:jc w:val="center"/>
              <w:rPr>
                <w:rFonts w:ascii="宋体" w:hAnsi="宋体"/>
                <w:sz w:val="22"/>
              </w:rPr>
            </w:pPr>
          </w:p>
        </w:tc>
        <w:tc>
          <w:tcPr>
            <w:tcW w:w="3843" w:type="dxa"/>
            <w:vMerge w:val="continue"/>
            <w:shd w:val="clear" w:color="auto" w:fill="auto"/>
            <w:vAlign w:val="center"/>
          </w:tcPr>
          <w:p w14:paraId="786C88B9">
            <w:pPr>
              <w:spacing w:line="360" w:lineRule="auto"/>
              <w:jc w:val="center"/>
              <w:rPr>
                <w:rFonts w:ascii="宋体" w:hAnsi="宋体"/>
                <w:color w:val="000000" w:themeColor="text1"/>
                <w:sz w:val="22"/>
              </w:rPr>
            </w:pPr>
          </w:p>
        </w:tc>
        <w:tc>
          <w:tcPr>
            <w:tcW w:w="1812" w:type="dxa"/>
            <w:shd w:val="clear" w:color="auto" w:fill="auto"/>
            <w:vAlign w:val="center"/>
          </w:tcPr>
          <w:p w14:paraId="59837B7D">
            <w:pPr>
              <w:spacing w:line="360" w:lineRule="auto"/>
              <w:jc w:val="center"/>
              <w:rPr>
                <w:rFonts w:hint="eastAsia"/>
                <w:color w:val="000000" w:themeColor="text1"/>
                <w:sz w:val="22"/>
                <w:szCs w:val="22"/>
                <w:lang w:val="en-US" w:eastAsia="zh-CN"/>
              </w:rPr>
            </w:pPr>
            <w:r>
              <w:rPr>
                <w:rFonts w:hint="eastAsia"/>
                <w:color w:val="000000" w:themeColor="text1"/>
                <w:sz w:val="22"/>
                <w:szCs w:val="22"/>
              </w:rPr>
              <w:t>第三等第</w:t>
            </w:r>
          </w:p>
        </w:tc>
        <w:tc>
          <w:tcPr>
            <w:tcW w:w="1369" w:type="dxa"/>
            <w:vAlign w:val="center"/>
          </w:tcPr>
          <w:p w14:paraId="6DD4A082">
            <w:pPr>
              <w:spacing w:line="360" w:lineRule="auto"/>
              <w:jc w:val="center"/>
              <w:rPr>
                <w:rFonts w:hint="eastAsia"/>
                <w:color w:val="000000" w:themeColor="text1"/>
                <w:sz w:val="22"/>
                <w:szCs w:val="22"/>
                <w:lang w:val="en-US" w:eastAsia="zh-CN"/>
              </w:rPr>
            </w:pPr>
            <w:r>
              <w:rPr>
                <w:color w:val="000000" w:themeColor="text1"/>
                <w:sz w:val="22"/>
                <w:szCs w:val="22"/>
              </w:rPr>
              <w:t>2</w:t>
            </w:r>
          </w:p>
        </w:tc>
      </w:tr>
      <w:tr w14:paraId="0893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851" w:type="dxa"/>
            <w:vMerge w:val="restart"/>
            <w:tcBorders>
              <w:top w:val="single" w:color="auto" w:sz="4" w:space="0"/>
              <w:left w:val="single" w:color="auto" w:sz="4" w:space="0"/>
              <w:right w:val="single" w:color="auto" w:sz="4" w:space="0"/>
            </w:tcBorders>
            <w:vAlign w:val="center"/>
          </w:tcPr>
          <w:p w14:paraId="54827809">
            <w:pPr>
              <w:spacing w:line="360" w:lineRule="auto"/>
              <w:jc w:val="center"/>
              <w:rPr>
                <w:rFonts w:ascii="宋体" w:hAnsi="宋体"/>
                <w:sz w:val="22"/>
              </w:rPr>
            </w:pPr>
            <w:r>
              <w:rPr>
                <w:rFonts w:hint="eastAsia" w:ascii="宋体" w:hAnsi="宋体"/>
                <w:sz w:val="22"/>
              </w:rPr>
              <w:t>双创项目</w:t>
            </w:r>
          </w:p>
          <w:bookmarkEnd w:id="0"/>
        </w:tc>
        <w:tc>
          <w:tcPr>
            <w:tcW w:w="3843" w:type="dxa"/>
            <w:tcBorders>
              <w:top w:val="single" w:color="auto" w:sz="4" w:space="0"/>
              <w:left w:val="single" w:color="auto" w:sz="4" w:space="0"/>
              <w:bottom w:val="single" w:color="auto" w:sz="4" w:space="0"/>
              <w:right w:val="single" w:color="auto" w:sz="4" w:space="0"/>
            </w:tcBorders>
            <w:shd w:val="clear" w:color="auto" w:fill="auto"/>
            <w:vAlign w:val="center"/>
          </w:tcPr>
          <w:p w14:paraId="525DA7DA">
            <w:pPr>
              <w:spacing w:line="360" w:lineRule="auto"/>
              <w:jc w:val="center"/>
              <w:rPr>
                <w:rFonts w:ascii="宋体" w:hAnsi="宋体"/>
                <w:color w:val="000000" w:themeColor="text1"/>
                <w:sz w:val="22"/>
              </w:rPr>
            </w:pPr>
            <w:r>
              <w:rPr>
                <w:rFonts w:hint="eastAsia" w:ascii="宋体" w:hAnsi="宋体"/>
                <w:color w:val="000000" w:themeColor="text1"/>
                <w:sz w:val="22"/>
              </w:rPr>
              <w:t>国家大学生创新创业训练计划项目</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14:paraId="1F4B27F1">
            <w:pPr>
              <w:spacing w:line="360" w:lineRule="auto"/>
              <w:jc w:val="center"/>
              <w:rPr>
                <w:rFonts w:ascii="宋体" w:hAnsi="宋体"/>
                <w:color w:val="000000" w:themeColor="text1"/>
                <w:sz w:val="22"/>
              </w:rPr>
            </w:pPr>
            <w:r>
              <w:rPr>
                <w:rFonts w:hint="eastAsia" w:ascii="宋体" w:hAnsi="宋体"/>
                <w:color w:val="000000" w:themeColor="text1"/>
                <w:sz w:val="22"/>
              </w:rPr>
              <w:t>国家级</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0349902A">
            <w:pPr>
              <w:spacing w:line="360" w:lineRule="auto"/>
              <w:jc w:val="center"/>
              <w:rPr>
                <w:color w:val="000000" w:themeColor="text1"/>
                <w:sz w:val="22"/>
              </w:rPr>
            </w:pPr>
            <w:r>
              <w:rPr>
                <w:color w:val="000000" w:themeColor="text1"/>
                <w:sz w:val="22"/>
              </w:rPr>
              <w:t>3</w:t>
            </w:r>
          </w:p>
        </w:tc>
      </w:tr>
      <w:tr w14:paraId="0206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851" w:type="dxa"/>
            <w:vMerge w:val="continue"/>
            <w:tcBorders>
              <w:left w:val="single" w:color="auto" w:sz="4" w:space="0"/>
              <w:right w:val="single" w:color="auto" w:sz="4" w:space="0"/>
            </w:tcBorders>
            <w:vAlign w:val="center"/>
          </w:tcPr>
          <w:p w14:paraId="4F5996DF">
            <w:pPr>
              <w:spacing w:line="360" w:lineRule="auto"/>
              <w:jc w:val="center"/>
              <w:rPr>
                <w:rFonts w:ascii="宋体" w:hAnsi="宋体"/>
                <w:sz w:val="22"/>
              </w:rPr>
            </w:pPr>
          </w:p>
        </w:tc>
        <w:tc>
          <w:tcPr>
            <w:tcW w:w="3843" w:type="dxa"/>
            <w:tcBorders>
              <w:top w:val="single" w:color="auto" w:sz="4" w:space="0"/>
              <w:left w:val="single" w:color="auto" w:sz="4" w:space="0"/>
              <w:bottom w:val="single" w:color="auto" w:sz="4" w:space="0"/>
              <w:right w:val="single" w:color="auto" w:sz="4" w:space="0"/>
            </w:tcBorders>
            <w:shd w:val="clear" w:color="auto" w:fill="auto"/>
            <w:vAlign w:val="center"/>
          </w:tcPr>
          <w:p w14:paraId="6CCA964C">
            <w:pPr>
              <w:spacing w:line="360" w:lineRule="auto"/>
              <w:jc w:val="center"/>
              <w:rPr>
                <w:rFonts w:ascii="宋体" w:hAnsi="宋体"/>
                <w:sz w:val="22"/>
              </w:rPr>
            </w:pPr>
            <w:r>
              <w:rPr>
                <w:rFonts w:hint="eastAsia" w:ascii="宋体" w:hAnsi="宋体"/>
                <w:sz w:val="22"/>
              </w:rPr>
              <w:t>上海大学生创新创业训练计划项目</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14:paraId="73C35C53">
            <w:pPr>
              <w:spacing w:line="360" w:lineRule="auto"/>
              <w:jc w:val="center"/>
              <w:rPr>
                <w:rFonts w:ascii="宋体" w:hAnsi="宋体"/>
                <w:sz w:val="22"/>
              </w:rPr>
            </w:pPr>
            <w:r>
              <w:rPr>
                <w:rFonts w:hint="eastAsia" w:ascii="宋体" w:hAnsi="宋体"/>
                <w:sz w:val="22"/>
              </w:rPr>
              <w:t>市级</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217FEB51">
            <w:pPr>
              <w:spacing w:line="360" w:lineRule="auto"/>
              <w:jc w:val="center"/>
              <w:rPr>
                <w:sz w:val="22"/>
              </w:rPr>
            </w:pPr>
            <w:r>
              <w:rPr>
                <w:sz w:val="22"/>
              </w:rPr>
              <w:t>2</w:t>
            </w:r>
          </w:p>
        </w:tc>
      </w:tr>
      <w:tr w14:paraId="5D53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851" w:type="dxa"/>
            <w:vMerge w:val="continue"/>
            <w:tcBorders>
              <w:left w:val="single" w:color="auto" w:sz="4" w:space="0"/>
              <w:bottom w:val="single" w:color="auto" w:sz="4" w:space="0"/>
              <w:right w:val="single" w:color="auto" w:sz="4" w:space="0"/>
            </w:tcBorders>
            <w:vAlign w:val="center"/>
          </w:tcPr>
          <w:p w14:paraId="3357B5C2">
            <w:pPr>
              <w:spacing w:line="360" w:lineRule="auto"/>
              <w:jc w:val="center"/>
              <w:rPr>
                <w:rFonts w:ascii="宋体" w:hAnsi="宋体"/>
                <w:sz w:val="22"/>
              </w:rPr>
            </w:pPr>
          </w:p>
        </w:tc>
        <w:tc>
          <w:tcPr>
            <w:tcW w:w="3843" w:type="dxa"/>
            <w:tcBorders>
              <w:top w:val="single" w:color="auto" w:sz="4" w:space="0"/>
              <w:left w:val="single" w:color="auto" w:sz="4" w:space="0"/>
              <w:bottom w:val="single" w:color="auto" w:sz="4" w:space="0"/>
              <w:right w:val="single" w:color="auto" w:sz="4" w:space="0"/>
            </w:tcBorders>
            <w:shd w:val="clear" w:color="auto" w:fill="auto"/>
            <w:vAlign w:val="center"/>
          </w:tcPr>
          <w:p w14:paraId="5C5D3638">
            <w:pPr>
              <w:spacing w:line="360" w:lineRule="auto"/>
              <w:jc w:val="center"/>
              <w:rPr>
                <w:rFonts w:ascii="宋体" w:hAnsi="宋体"/>
                <w:sz w:val="22"/>
              </w:rPr>
            </w:pPr>
            <w:r>
              <w:rPr>
                <w:rFonts w:hint="eastAsia" w:ascii="宋体" w:hAnsi="宋体"/>
                <w:sz w:val="22"/>
              </w:rPr>
              <w:t>校级大学生创新创业训练计划项目</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14:paraId="232FE2EF">
            <w:pPr>
              <w:spacing w:line="360" w:lineRule="auto"/>
              <w:jc w:val="center"/>
              <w:rPr>
                <w:rFonts w:ascii="宋体" w:hAnsi="宋体"/>
                <w:sz w:val="22"/>
              </w:rPr>
            </w:pPr>
            <w:r>
              <w:rPr>
                <w:rFonts w:hint="eastAsia" w:ascii="宋体" w:hAnsi="宋体"/>
                <w:sz w:val="22"/>
              </w:rPr>
              <w:t>校级</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325CAEA6">
            <w:pPr>
              <w:spacing w:line="360" w:lineRule="auto"/>
              <w:jc w:val="center"/>
              <w:rPr>
                <w:sz w:val="22"/>
              </w:rPr>
            </w:pPr>
            <w:r>
              <w:rPr>
                <w:sz w:val="22"/>
              </w:rPr>
              <w:t>1</w:t>
            </w:r>
          </w:p>
        </w:tc>
      </w:tr>
    </w:tbl>
    <w:p w14:paraId="70F56CA7">
      <w:pPr>
        <w:spacing w:line="360" w:lineRule="auto"/>
        <w:jc w:val="left"/>
        <w:rPr>
          <w:rFonts w:ascii="楷体" w:hAnsi="楷体" w:eastAsia="楷体"/>
          <w:sz w:val="24"/>
        </w:rPr>
      </w:pPr>
      <w:r>
        <w:rPr>
          <w:rFonts w:hint="eastAsia" w:ascii="楷体" w:hAnsi="楷体" w:eastAsia="楷体"/>
          <w:sz w:val="24"/>
        </w:rPr>
        <w:t>注：</w:t>
      </w:r>
    </w:p>
    <w:p w14:paraId="7B9D8458">
      <w:pPr>
        <w:spacing w:line="360" w:lineRule="auto"/>
        <w:jc w:val="left"/>
        <w:rPr>
          <w:rFonts w:ascii="楷体" w:hAnsi="楷体" w:eastAsia="楷体"/>
          <w:sz w:val="24"/>
        </w:rPr>
      </w:pPr>
      <w:r>
        <w:rPr>
          <w:rFonts w:eastAsia="楷体"/>
          <w:sz w:val="24"/>
        </w:rPr>
        <w:t>1、</w:t>
      </w:r>
      <w:r>
        <w:rPr>
          <w:rFonts w:hint="eastAsia" w:ascii="楷体" w:hAnsi="楷体" w:eastAsia="楷体"/>
          <w:sz w:val="24"/>
        </w:rPr>
        <w:t>双创竞赛活动需作为主要成员参加，每个项目主要成员不超过</w:t>
      </w:r>
      <w:r>
        <w:rPr>
          <w:rFonts w:eastAsia="楷体"/>
          <w:sz w:val="24"/>
        </w:rPr>
        <w:t>5</w:t>
      </w:r>
      <w:r>
        <w:rPr>
          <w:rFonts w:hint="eastAsia" w:ascii="楷体" w:hAnsi="楷体" w:eastAsia="楷体"/>
          <w:sz w:val="24"/>
        </w:rPr>
        <w:t>人 (研究生计入)，具体量化标准：独立完成</w:t>
      </w:r>
      <w:r>
        <w:rPr>
          <w:rFonts w:eastAsia="楷体"/>
          <w:sz w:val="24"/>
        </w:rPr>
        <w:t>100%</w:t>
      </w:r>
      <w:r>
        <w:rPr>
          <w:rFonts w:hint="eastAsia" w:ascii="楷体" w:hAnsi="楷体" w:eastAsia="楷体"/>
          <w:sz w:val="24"/>
        </w:rPr>
        <w:t>，第一负责人</w:t>
      </w:r>
      <w:r>
        <w:rPr>
          <w:rFonts w:eastAsia="楷体"/>
          <w:sz w:val="24"/>
        </w:rPr>
        <w:t>80%</w:t>
      </w:r>
      <w:r>
        <w:rPr>
          <w:rFonts w:hint="eastAsia" w:ascii="楷体" w:hAnsi="楷体" w:eastAsia="楷体"/>
          <w:sz w:val="24"/>
        </w:rPr>
        <w:t>，其余主力队员</w:t>
      </w:r>
      <w:r>
        <w:rPr>
          <w:rFonts w:eastAsia="楷体"/>
          <w:sz w:val="24"/>
        </w:rPr>
        <w:t>50%</w:t>
      </w:r>
      <w:r>
        <w:rPr>
          <w:rFonts w:hint="eastAsia" w:ascii="楷体" w:hAnsi="楷体" w:eastAsia="楷体"/>
          <w:sz w:val="24"/>
        </w:rPr>
        <w:t>。</w:t>
      </w:r>
    </w:p>
    <w:p w14:paraId="500C6578">
      <w:pPr>
        <w:spacing w:line="360" w:lineRule="auto"/>
        <w:jc w:val="left"/>
        <w:rPr>
          <w:rFonts w:ascii="楷体" w:hAnsi="楷体" w:eastAsia="楷体"/>
          <w:sz w:val="24"/>
        </w:rPr>
      </w:pPr>
      <w:r>
        <w:rPr>
          <w:rFonts w:eastAsia="楷体"/>
          <w:sz w:val="24"/>
        </w:rPr>
        <w:t>2、</w:t>
      </w:r>
      <w:r>
        <w:rPr>
          <w:rFonts w:hint="eastAsia" w:ascii="楷体" w:hAnsi="楷体" w:eastAsia="楷体"/>
          <w:sz w:val="24"/>
        </w:rPr>
        <w:t>大学生创新创业训练计划项目需作为主持或作为主要成员参与，并通过验收。具体量化标准：独立完成</w:t>
      </w:r>
      <w:r>
        <w:rPr>
          <w:rFonts w:eastAsia="楷体"/>
          <w:sz w:val="24"/>
        </w:rPr>
        <w:t>100%</w:t>
      </w:r>
      <w:r>
        <w:rPr>
          <w:rFonts w:hint="eastAsia" w:ascii="楷体" w:hAnsi="楷体" w:eastAsia="楷体"/>
          <w:sz w:val="24"/>
        </w:rPr>
        <w:t>，第一负责人</w:t>
      </w:r>
      <w:r>
        <w:rPr>
          <w:rFonts w:eastAsia="楷体"/>
          <w:sz w:val="24"/>
        </w:rPr>
        <w:t>80%</w:t>
      </w:r>
      <w:r>
        <w:rPr>
          <w:rFonts w:hint="eastAsia" w:ascii="楷体" w:hAnsi="楷体" w:eastAsia="楷体"/>
          <w:sz w:val="24"/>
        </w:rPr>
        <w:t>，其余主力队员</w:t>
      </w:r>
      <w:r>
        <w:rPr>
          <w:rFonts w:eastAsia="楷体"/>
          <w:sz w:val="24"/>
        </w:rPr>
        <w:t>50%</w:t>
      </w:r>
      <w:r>
        <w:rPr>
          <w:rFonts w:hint="eastAsia" w:ascii="楷体" w:hAnsi="楷体" w:eastAsia="楷体"/>
          <w:sz w:val="24"/>
        </w:rPr>
        <w:t>。项目验收结果为“优秀”的可在原分值基础上</w:t>
      </w:r>
      <w:r>
        <w:rPr>
          <w:rFonts w:eastAsia="楷体"/>
          <w:sz w:val="24"/>
        </w:rPr>
        <w:t>*1.5</w:t>
      </w:r>
      <w:r>
        <w:rPr>
          <w:rFonts w:hint="eastAsia" w:ascii="楷体" w:hAnsi="楷体" w:eastAsia="楷体"/>
          <w:sz w:val="24"/>
        </w:rPr>
        <w:t>。</w:t>
      </w:r>
    </w:p>
    <w:p w14:paraId="13AE4A34">
      <w:pPr>
        <w:spacing w:line="360" w:lineRule="auto"/>
        <w:jc w:val="left"/>
        <w:rPr>
          <w:rFonts w:ascii="楷体" w:hAnsi="楷体" w:eastAsia="楷体"/>
          <w:sz w:val="24"/>
        </w:rPr>
      </w:pPr>
      <w:r>
        <w:rPr>
          <w:rFonts w:eastAsia="楷体"/>
          <w:sz w:val="24"/>
        </w:rPr>
        <w:t>3、</w:t>
      </w:r>
      <w:r>
        <w:rPr>
          <w:rFonts w:hint="eastAsia" w:ascii="楷体" w:hAnsi="楷体" w:eastAsia="楷体"/>
          <w:sz w:val="24"/>
        </w:rPr>
        <w:t xml:space="preserve">本部分如有多个可获加分情形的，就高计一次。 </w:t>
      </w:r>
    </w:p>
    <w:p w14:paraId="263F55CD">
      <w:pPr>
        <w:spacing w:line="360" w:lineRule="auto"/>
        <w:jc w:val="left"/>
        <w:rPr>
          <w:rFonts w:ascii="楷体" w:hAnsi="楷体" w:eastAsia="楷体"/>
          <w:sz w:val="24"/>
        </w:rPr>
      </w:pPr>
      <w:r>
        <w:rPr>
          <w:rFonts w:eastAsia="楷体"/>
          <w:sz w:val="24"/>
        </w:rPr>
        <w:t>4、</w:t>
      </w:r>
      <w:r>
        <w:rPr>
          <w:rFonts w:hint="eastAsia" w:ascii="楷体" w:hAnsi="楷体" w:eastAsia="楷体"/>
          <w:sz w:val="24"/>
        </w:rPr>
        <w:t>课题内容应与政治与国际关系学院专业相关。</w:t>
      </w:r>
    </w:p>
    <w:p w14:paraId="1AEBE1B4">
      <w:pPr>
        <w:spacing w:line="360" w:lineRule="auto"/>
        <w:jc w:val="left"/>
        <w:rPr>
          <w:rFonts w:ascii="楷体" w:hAnsi="楷体" w:eastAsia="楷体"/>
          <w:sz w:val="24"/>
        </w:rPr>
      </w:pPr>
      <w:r>
        <w:rPr>
          <w:rFonts w:eastAsia="楷体"/>
          <w:sz w:val="24"/>
        </w:rPr>
        <w:t>5、</w:t>
      </w:r>
      <w:r>
        <w:rPr>
          <w:rFonts w:hint="eastAsia" w:ascii="楷体" w:hAnsi="楷体" w:eastAsia="楷体"/>
          <w:sz w:val="24"/>
        </w:rPr>
        <w:t xml:space="preserve">双创竞赛活动加分审核由院系初审，并报华东师大双创学院复核。 </w:t>
      </w:r>
    </w:p>
    <w:p w14:paraId="3F5C00F8">
      <w:pPr>
        <w:spacing w:line="360" w:lineRule="auto"/>
        <w:jc w:val="left"/>
        <w:rPr>
          <w:rFonts w:eastAsia="楷体"/>
          <w:sz w:val="24"/>
          <w:highlight w:val="none"/>
        </w:rPr>
      </w:pPr>
      <w:r>
        <w:rPr>
          <w:rFonts w:eastAsia="楷体"/>
          <w:sz w:val="24"/>
          <w:highlight w:val="none"/>
        </w:rPr>
        <w:t>6、</w:t>
      </w:r>
      <w:r>
        <w:rPr>
          <w:rFonts w:hint="eastAsia" w:eastAsia="楷体"/>
          <w:sz w:val="24"/>
          <w:highlight w:val="none"/>
        </w:rPr>
        <w:t>对于参赛的指导，老师应出具推荐信，客观陈述学生在联合成果中所做的实际贡献。</w:t>
      </w:r>
    </w:p>
    <w:p w14:paraId="7A5D0E67">
      <w:pPr>
        <w:spacing w:line="360" w:lineRule="auto"/>
        <w:jc w:val="left"/>
        <w:rPr>
          <w:rFonts w:ascii="楷体" w:hAnsi="楷体" w:eastAsia="楷体"/>
          <w:sz w:val="24"/>
        </w:rPr>
      </w:pPr>
      <w:r>
        <w:rPr>
          <w:rFonts w:ascii="楷体" w:hAnsi="楷体" w:eastAsia="楷体"/>
          <w:sz w:val="24"/>
        </w:rPr>
        <w:t>7</w:t>
      </w:r>
      <w:r>
        <w:rPr>
          <w:rFonts w:hint="eastAsia" w:ascii="楷体" w:hAnsi="楷体" w:eastAsia="楷体"/>
          <w:sz w:val="24"/>
        </w:rPr>
        <w:t>、如有变动，以我校当年更新为准。</w:t>
      </w:r>
    </w:p>
    <w:p w14:paraId="191A4BE3">
      <w:pPr>
        <w:spacing w:line="360" w:lineRule="auto"/>
        <w:jc w:val="left"/>
        <w:rPr>
          <w:b/>
          <w:bCs/>
          <w:sz w:val="24"/>
        </w:rPr>
      </w:pPr>
    </w:p>
    <w:p w14:paraId="07174129">
      <w:pPr>
        <w:spacing w:line="360" w:lineRule="auto"/>
        <w:jc w:val="left"/>
        <w:rPr>
          <w:b/>
          <w:bCs/>
          <w:sz w:val="24"/>
        </w:rPr>
      </w:pPr>
      <w:r>
        <w:rPr>
          <w:rFonts w:hint="eastAsia"/>
          <w:b/>
          <w:bCs/>
          <w:sz w:val="24"/>
        </w:rPr>
        <w:t>（四）其他学术成果</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4157"/>
        <w:gridCol w:w="1369"/>
        <w:gridCol w:w="1357"/>
      </w:tblGrid>
      <w:tr w14:paraId="192E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shd w:val="clear" w:color="auto" w:fill="auto"/>
            <w:vAlign w:val="center"/>
          </w:tcPr>
          <w:p w14:paraId="7BA82CAA">
            <w:pPr>
              <w:spacing w:line="360" w:lineRule="auto"/>
              <w:jc w:val="center"/>
              <w:rPr>
                <w:rFonts w:ascii="仿宋" w:hAnsi="仿宋" w:eastAsia="仿宋"/>
                <w:color w:val="000000" w:themeColor="text1"/>
                <w:sz w:val="24"/>
              </w:rPr>
            </w:pPr>
            <w:r>
              <w:rPr>
                <w:rFonts w:ascii="仿宋" w:hAnsi="仿宋"/>
                <w:b/>
                <w:color w:val="000000" w:themeColor="text1"/>
                <w:sz w:val="22"/>
                <w:szCs w:val="22"/>
              </w:rPr>
              <w:t>项目名称</w:t>
            </w:r>
          </w:p>
        </w:tc>
        <w:tc>
          <w:tcPr>
            <w:tcW w:w="4157" w:type="dxa"/>
            <w:vAlign w:val="center"/>
          </w:tcPr>
          <w:p w14:paraId="5EAA2F1F">
            <w:pPr>
              <w:spacing w:line="360" w:lineRule="auto"/>
              <w:jc w:val="center"/>
              <w:rPr>
                <w:rFonts w:ascii="仿宋" w:hAnsi="仿宋"/>
                <w:b/>
                <w:color w:val="000000" w:themeColor="text1"/>
                <w:sz w:val="22"/>
                <w:szCs w:val="22"/>
              </w:rPr>
            </w:pPr>
            <w:r>
              <w:rPr>
                <w:rFonts w:hint="eastAsia" w:ascii="仿宋" w:hAnsi="仿宋"/>
                <w:b/>
                <w:color w:val="000000" w:themeColor="text1"/>
                <w:sz w:val="22"/>
                <w:szCs w:val="22"/>
              </w:rPr>
              <w:t>项目要求</w:t>
            </w:r>
          </w:p>
        </w:tc>
        <w:tc>
          <w:tcPr>
            <w:tcW w:w="1369" w:type="dxa"/>
            <w:vAlign w:val="center"/>
          </w:tcPr>
          <w:p w14:paraId="594B5C2C">
            <w:pPr>
              <w:spacing w:line="360" w:lineRule="auto"/>
              <w:jc w:val="center"/>
              <w:rPr>
                <w:rFonts w:ascii="仿宋" w:hAnsi="仿宋"/>
                <w:b/>
                <w:color w:val="000000" w:themeColor="text1"/>
                <w:sz w:val="22"/>
                <w:szCs w:val="22"/>
              </w:rPr>
            </w:pPr>
            <w:r>
              <w:rPr>
                <w:rFonts w:hint="eastAsia" w:ascii="仿宋" w:hAnsi="仿宋"/>
                <w:b/>
                <w:color w:val="000000" w:themeColor="text1"/>
                <w:sz w:val="22"/>
                <w:szCs w:val="22"/>
              </w:rPr>
              <w:t>独著</w:t>
            </w:r>
          </w:p>
        </w:tc>
        <w:tc>
          <w:tcPr>
            <w:tcW w:w="1357" w:type="dxa"/>
            <w:vAlign w:val="center"/>
          </w:tcPr>
          <w:p w14:paraId="471D7F03">
            <w:pPr>
              <w:spacing w:line="360" w:lineRule="auto"/>
              <w:jc w:val="center"/>
              <w:rPr>
                <w:rFonts w:ascii="仿宋" w:hAnsi="仿宋"/>
                <w:b/>
                <w:color w:val="000000" w:themeColor="text1"/>
                <w:sz w:val="22"/>
                <w:szCs w:val="22"/>
              </w:rPr>
            </w:pPr>
            <w:r>
              <w:rPr>
                <w:rFonts w:ascii="仿宋" w:hAnsi="仿宋"/>
                <w:b/>
                <w:color w:val="000000" w:themeColor="text1"/>
                <w:sz w:val="22"/>
                <w:szCs w:val="22"/>
              </w:rPr>
              <w:t>主要成员</w:t>
            </w:r>
          </w:p>
        </w:tc>
      </w:tr>
      <w:tr w14:paraId="3129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shd w:val="clear" w:color="auto" w:fill="auto"/>
            <w:vAlign w:val="center"/>
          </w:tcPr>
          <w:p w14:paraId="53655DCC">
            <w:pPr>
              <w:spacing w:line="360" w:lineRule="auto"/>
              <w:jc w:val="center"/>
              <w:rPr>
                <w:rFonts w:ascii="宋体" w:hAnsi="宋体"/>
                <w:color w:val="000000" w:themeColor="text1"/>
                <w:sz w:val="22"/>
              </w:rPr>
            </w:pPr>
            <w:r>
              <w:rPr>
                <w:rFonts w:ascii="宋体" w:hAnsi="宋体"/>
                <w:color w:val="000000" w:themeColor="text1"/>
                <w:sz w:val="22"/>
              </w:rPr>
              <w:t>著作</w:t>
            </w:r>
          </w:p>
        </w:tc>
        <w:tc>
          <w:tcPr>
            <w:tcW w:w="4157" w:type="dxa"/>
            <w:vAlign w:val="center"/>
          </w:tcPr>
          <w:p w14:paraId="19C33667">
            <w:pPr>
              <w:spacing w:line="360" w:lineRule="auto"/>
              <w:jc w:val="center"/>
              <w:rPr>
                <w:rFonts w:ascii="宋体" w:hAnsi="宋体"/>
                <w:color w:val="000000" w:themeColor="text1"/>
                <w:sz w:val="22"/>
              </w:rPr>
            </w:pPr>
            <w:r>
              <w:rPr>
                <w:rFonts w:ascii="宋体" w:hAnsi="宋体"/>
                <w:color w:val="000000" w:themeColor="text1"/>
                <w:sz w:val="22"/>
              </w:rPr>
              <w:t>已公开出版、署名的与本学科(专业)相关的学术性著作</w:t>
            </w:r>
          </w:p>
        </w:tc>
        <w:tc>
          <w:tcPr>
            <w:tcW w:w="1369" w:type="dxa"/>
            <w:vAlign w:val="center"/>
          </w:tcPr>
          <w:p w14:paraId="5A6084F3">
            <w:pPr>
              <w:spacing w:line="360" w:lineRule="auto"/>
              <w:jc w:val="center"/>
              <w:rPr>
                <w:color w:val="000000" w:themeColor="text1"/>
                <w:sz w:val="22"/>
                <w:szCs w:val="22"/>
              </w:rPr>
            </w:pPr>
            <w:r>
              <w:rPr>
                <w:color w:val="000000" w:themeColor="text1"/>
                <w:sz w:val="22"/>
                <w:szCs w:val="22"/>
              </w:rPr>
              <w:t>5</w:t>
            </w:r>
          </w:p>
        </w:tc>
        <w:tc>
          <w:tcPr>
            <w:tcW w:w="1357" w:type="dxa"/>
            <w:vAlign w:val="center"/>
          </w:tcPr>
          <w:p w14:paraId="3FD6013E">
            <w:pPr>
              <w:spacing w:line="360" w:lineRule="auto"/>
              <w:jc w:val="center"/>
              <w:rPr>
                <w:color w:val="000000" w:themeColor="text1"/>
                <w:sz w:val="22"/>
                <w:szCs w:val="22"/>
              </w:rPr>
            </w:pPr>
            <w:r>
              <w:rPr>
                <w:color w:val="000000" w:themeColor="text1"/>
                <w:sz w:val="22"/>
                <w:szCs w:val="22"/>
              </w:rPr>
              <w:t>2.5</w:t>
            </w:r>
          </w:p>
        </w:tc>
      </w:tr>
      <w:tr w14:paraId="7CE0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shd w:val="clear" w:color="auto" w:fill="auto"/>
            <w:vAlign w:val="center"/>
          </w:tcPr>
          <w:p w14:paraId="7B8579B0">
            <w:pPr>
              <w:spacing w:line="360" w:lineRule="auto"/>
              <w:jc w:val="center"/>
              <w:rPr>
                <w:rFonts w:ascii="宋体" w:hAnsi="宋体"/>
                <w:color w:val="000000" w:themeColor="text1"/>
                <w:sz w:val="22"/>
                <w:szCs w:val="22"/>
              </w:rPr>
            </w:pPr>
            <w:r>
              <w:rPr>
                <w:rFonts w:ascii="宋体" w:hAnsi="宋体"/>
                <w:color w:val="000000" w:themeColor="text1"/>
                <w:sz w:val="22"/>
                <w:szCs w:val="22"/>
              </w:rPr>
              <w:t>译著</w:t>
            </w:r>
          </w:p>
        </w:tc>
        <w:tc>
          <w:tcPr>
            <w:tcW w:w="4157" w:type="dxa"/>
            <w:vAlign w:val="center"/>
          </w:tcPr>
          <w:p w14:paraId="66EB0273">
            <w:pPr>
              <w:spacing w:line="360" w:lineRule="auto"/>
              <w:jc w:val="center"/>
              <w:rPr>
                <w:rFonts w:ascii="宋体" w:hAnsi="宋体"/>
                <w:color w:val="000000" w:themeColor="text1"/>
                <w:sz w:val="22"/>
              </w:rPr>
            </w:pPr>
            <w:r>
              <w:rPr>
                <w:rFonts w:ascii="宋体" w:hAnsi="宋体"/>
                <w:color w:val="000000" w:themeColor="text1"/>
                <w:sz w:val="22"/>
              </w:rPr>
              <w:t>已翻译并公开出版、署名的学术性、理论性译著</w:t>
            </w:r>
          </w:p>
        </w:tc>
        <w:tc>
          <w:tcPr>
            <w:tcW w:w="1369" w:type="dxa"/>
            <w:vAlign w:val="center"/>
          </w:tcPr>
          <w:p w14:paraId="70C27FB4">
            <w:pPr>
              <w:spacing w:line="360" w:lineRule="auto"/>
              <w:jc w:val="center"/>
              <w:rPr>
                <w:color w:val="000000" w:themeColor="text1"/>
                <w:sz w:val="22"/>
                <w:szCs w:val="22"/>
              </w:rPr>
            </w:pPr>
            <w:r>
              <w:rPr>
                <w:color w:val="000000" w:themeColor="text1"/>
                <w:sz w:val="22"/>
                <w:szCs w:val="22"/>
              </w:rPr>
              <w:t>5</w:t>
            </w:r>
          </w:p>
        </w:tc>
        <w:tc>
          <w:tcPr>
            <w:tcW w:w="1357" w:type="dxa"/>
            <w:vAlign w:val="center"/>
          </w:tcPr>
          <w:p w14:paraId="48C235E0">
            <w:pPr>
              <w:spacing w:line="360" w:lineRule="auto"/>
              <w:jc w:val="center"/>
              <w:rPr>
                <w:color w:val="000000" w:themeColor="text1"/>
                <w:sz w:val="22"/>
                <w:szCs w:val="22"/>
              </w:rPr>
            </w:pPr>
            <w:r>
              <w:rPr>
                <w:color w:val="000000" w:themeColor="text1"/>
                <w:sz w:val="22"/>
                <w:szCs w:val="22"/>
              </w:rPr>
              <w:t>2.5</w:t>
            </w:r>
          </w:p>
        </w:tc>
      </w:tr>
    </w:tbl>
    <w:p w14:paraId="12CA8693">
      <w:pPr>
        <w:spacing w:line="360" w:lineRule="auto"/>
        <w:jc w:val="left"/>
        <w:rPr>
          <w:rFonts w:ascii="楷体" w:hAnsi="楷体" w:eastAsia="楷体"/>
          <w:sz w:val="24"/>
        </w:rPr>
      </w:pPr>
      <w:r>
        <w:rPr>
          <w:rFonts w:hint="eastAsia" w:ascii="楷体" w:hAnsi="楷体" w:eastAsia="楷体"/>
          <w:sz w:val="24"/>
        </w:rPr>
        <w:t>注：</w:t>
      </w:r>
    </w:p>
    <w:p w14:paraId="617E49EE">
      <w:pPr>
        <w:spacing w:line="360" w:lineRule="auto"/>
        <w:jc w:val="left"/>
        <w:rPr>
          <w:rFonts w:ascii="楷体" w:hAnsi="楷体" w:eastAsia="楷体"/>
          <w:sz w:val="24"/>
        </w:rPr>
      </w:pPr>
      <w:r>
        <w:rPr>
          <w:rFonts w:eastAsia="楷体"/>
          <w:sz w:val="24"/>
        </w:rPr>
        <w:t>1、</w:t>
      </w:r>
      <w:r>
        <w:rPr>
          <w:rFonts w:hint="eastAsia" w:ascii="楷体" w:hAnsi="楷体" w:eastAsia="楷体"/>
          <w:sz w:val="24"/>
        </w:rPr>
        <w:t>应为学生本科阶段已取得的具有代表性的其他重大学术成果。</w:t>
      </w:r>
    </w:p>
    <w:p w14:paraId="6B8D2327">
      <w:pPr>
        <w:spacing w:line="360" w:lineRule="auto"/>
        <w:jc w:val="left"/>
        <w:rPr>
          <w:rFonts w:ascii="楷体" w:hAnsi="楷体" w:eastAsia="楷体"/>
          <w:sz w:val="24"/>
        </w:rPr>
      </w:pPr>
      <w:r>
        <w:rPr>
          <w:rFonts w:eastAsia="楷体"/>
          <w:sz w:val="24"/>
        </w:rPr>
        <w:t>2、</w:t>
      </w:r>
      <w:r>
        <w:rPr>
          <w:rFonts w:hint="eastAsia" w:ascii="楷体" w:hAnsi="楷体" w:eastAsia="楷体"/>
          <w:sz w:val="24"/>
        </w:rPr>
        <w:t>上限不超过</w:t>
      </w:r>
      <w:r>
        <w:rPr>
          <w:rFonts w:eastAsia="楷体"/>
          <w:sz w:val="24"/>
        </w:rPr>
        <w:t>5</w:t>
      </w:r>
      <w:r>
        <w:rPr>
          <w:rFonts w:hint="eastAsia" w:ascii="楷体" w:hAnsi="楷体" w:eastAsia="楷体"/>
          <w:sz w:val="24"/>
        </w:rPr>
        <w:t>分。如有多个可获加分情形的，就高计一次。</w:t>
      </w:r>
    </w:p>
    <w:p w14:paraId="53027829">
      <w:pPr>
        <w:spacing w:line="360" w:lineRule="auto"/>
        <w:jc w:val="left"/>
        <w:rPr>
          <w:b/>
          <w:bCs/>
          <w:sz w:val="24"/>
        </w:rPr>
      </w:pPr>
    </w:p>
    <w:p w14:paraId="5759EC2E">
      <w:pPr>
        <w:spacing w:line="360" w:lineRule="auto"/>
        <w:jc w:val="left"/>
        <w:rPr>
          <w:b/>
          <w:bCs/>
          <w:sz w:val="24"/>
        </w:rPr>
      </w:pPr>
      <w:r>
        <w:rPr>
          <w:rFonts w:hint="eastAsia"/>
          <w:b/>
          <w:bCs/>
          <w:sz w:val="24"/>
        </w:rPr>
        <w:t>（五）志愿服务</w:t>
      </w: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2722"/>
        <w:gridCol w:w="2552"/>
      </w:tblGrid>
      <w:tr w14:paraId="47C7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14:paraId="5334E88E">
            <w:pPr>
              <w:spacing w:line="360" w:lineRule="auto"/>
              <w:jc w:val="center"/>
              <w:rPr>
                <w:b/>
                <w:sz w:val="22"/>
                <w:szCs w:val="22"/>
              </w:rPr>
            </w:pPr>
            <w:r>
              <w:rPr>
                <w:rFonts w:hint="eastAsia"/>
                <w:b/>
                <w:sz w:val="22"/>
                <w:szCs w:val="22"/>
              </w:rPr>
              <w:t>项目名称</w:t>
            </w:r>
          </w:p>
        </w:tc>
        <w:tc>
          <w:tcPr>
            <w:tcW w:w="2722" w:type="dxa"/>
            <w:tcBorders>
              <w:top w:val="single" w:color="auto" w:sz="4" w:space="0"/>
              <w:left w:val="single" w:color="auto" w:sz="4" w:space="0"/>
              <w:bottom w:val="single" w:color="auto" w:sz="4" w:space="0"/>
              <w:right w:val="single" w:color="auto" w:sz="4" w:space="0"/>
            </w:tcBorders>
            <w:shd w:val="clear" w:color="auto" w:fill="auto"/>
            <w:vAlign w:val="center"/>
          </w:tcPr>
          <w:p w14:paraId="2DCFDE38">
            <w:pPr>
              <w:spacing w:line="360" w:lineRule="auto"/>
              <w:jc w:val="center"/>
              <w:rPr>
                <w:b/>
                <w:sz w:val="22"/>
                <w:szCs w:val="22"/>
              </w:rPr>
            </w:pPr>
            <w:r>
              <w:rPr>
                <w:rFonts w:hint="eastAsia"/>
                <w:b/>
                <w:sz w:val="22"/>
                <w:szCs w:val="22"/>
              </w:rPr>
              <w:t>项目级别</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416D7013">
            <w:pPr>
              <w:spacing w:line="360" w:lineRule="auto"/>
              <w:jc w:val="center"/>
              <w:rPr>
                <w:b/>
                <w:sz w:val="22"/>
                <w:szCs w:val="22"/>
              </w:rPr>
            </w:pPr>
            <w:r>
              <w:rPr>
                <w:rFonts w:hint="eastAsia"/>
                <w:b/>
                <w:sz w:val="22"/>
                <w:szCs w:val="22"/>
              </w:rPr>
              <w:t>加分分值</w:t>
            </w:r>
          </w:p>
        </w:tc>
      </w:tr>
      <w:tr w14:paraId="409B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5" w:type="dxa"/>
            <w:vMerge w:val="restart"/>
            <w:tcBorders>
              <w:top w:val="single" w:color="auto" w:sz="4" w:space="0"/>
              <w:left w:val="single" w:color="auto" w:sz="4" w:space="0"/>
              <w:right w:val="single" w:color="auto" w:sz="4" w:space="0"/>
            </w:tcBorders>
            <w:shd w:val="clear" w:color="auto" w:fill="auto"/>
            <w:vAlign w:val="center"/>
          </w:tcPr>
          <w:p w14:paraId="2AFF271C">
            <w:pPr>
              <w:spacing w:line="360" w:lineRule="auto"/>
              <w:jc w:val="center"/>
              <w:rPr>
                <w:sz w:val="22"/>
                <w:szCs w:val="22"/>
              </w:rPr>
            </w:pPr>
            <w:r>
              <w:rPr>
                <w:rFonts w:hint="eastAsia"/>
                <w:sz w:val="22"/>
                <w:szCs w:val="22"/>
              </w:rPr>
              <w:t>志愿服务个人荣誉称号</w:t>
            </w:r>
          </w:p>
          <w:p w14:paraId="01D7C927">
            <w:pPr>
              <w:spacing w:line="360" w:lineRule="auto"/>
              <w:jc w:val="center"/>
              <w:rPr>
                <w:sz w:val="22"/>
                <w:szCs w:val="22"/>
              </w:rPr>
            </w:pPr>
          </w:p>
        </w:tc>
        <w:tc>
          <w:tcPr>
            <w:tcW w:w="2722" w:type="dxa"/>
            <w:tcBorders>
              <w:top w:val="single" w:color="auto" w:sz="4" w:space="0"/>
              <w:left w:val="single" w:color="auto" w:sz="4" w:space="0"/>
              <w:bottom w:val="single" w:color="auto" w:sz="4" w:space="0"/>
              <w:right w:val="single" w:color="auto" w:sz="4" w:space="0"/>
            </w:tcBorders>
            <w:shd w:val="clear" w:color="auto" w:fill="auto"/>
            <w:vAlign w:val="center"/>
          </w:tcPr>
          <w:p w14:paraId="0742B7AB">
            <w:pPr>
              <w:spacing w:line="360" w:lineRule="auto"/>
              <w:jc w:val="center"/>
              <w:rPr>
                <w:sz w:val="22"/>
                <w:szCs w:val="22"/>
              </w:rPr>
            </w:pPr>
            <w:r>
              <w:rPr>
                <w:rFonts w:hint="eastAsia"/>
                <w:sz w:val="22"/>
                <w:szCs w:val="22"/>
              </w:rPr>
              <w:t>国家级</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04F0319">
            <w:pPr>
              <w:spacing w:line="360" w:lineRule="auto"/>
              <w:jc w:val="center"/>
              <w:rPr>
                <w:sz w:val="22"/>
                <w:szCs w:val="22"/>
              </w:rPr>
            </w:pPr>
            <w:r>
              <w:rPr>
                <w:sz w:val="22"/>
                <w:szCs w:val="22"/>
              </w:rPr>
              <w:t>1</w:t>
            </w:r>
          </w:p>
        </w:tc>
      </w:tr>
      <w:tr w14:paraId="40AD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5" w:type="dxa"/>
            <w:vMerge w:val="continue"/>
            <w:tcBorders>
              <w:left w:val="single" w:color="auto" w:sz="4" w:space="0"/>
              <w:right w:val="single" w:color="auto" w:sz="4" w:space="0"/>
            </w:tcBorders>
            <w:shd w:val="clear" w:color="auto" w:fill="auto"/>
            <w:vAlign w:val="center"/>
          </w:tcPr>
          <w:p w14:paraId="3F6D7FF0">
            <w:pPr>
              <w:spacing w:line="360" w:lineRule="auto"/>
              <w:jc w:val="center"/>
              <w:rPr>
                <w:sz w:val="22"/>
                <w:szCs w:val="22"/>
              </w:rPr>
            </w:pPr>
          </w:p>
        </w:tc>
        <w:tc>
          <w:tcPr>
            <w:tcW w:w="2722" w:type="dxa"/>
            <w:tcBorders>
              <w:top w:val="single" w:color="auto" w:sz="4" w:space="0"/>
              <w:left w:val="single" w:color="auto" w:sz="4" w:space="0"/>
              <w:bottom w:val="single" w:color="auto" w:sz="4" w:space="0"/>
              <w:right w:val="single" w:color="auto" w:sz="4" w:space="0"/>
            </w:tcBorders>
            <w:shd w:val="clear" w:color="auto" w:fill="auto"/>
            <w:vAlign w:val="center"/>
          </w:tcPr>
          <w:p w14:paraId="1F3123AE">
            <w:pPr>
              <w:spacing w:line="360" w:lineRule="auto"/>
              <w:jc w:val="center"/>
              <w:rPr>
                <w:sz w:val="22"/>
                <w:szCs w:val="22"/>
              </w:rPr>
            </w:pPr>
            <w:r>
              <w:rPr>
                <w:rFonts w:hint="eastAsia"/>
                <w:sz w:val="22"/>
                <w:szCs w:val="22"/>
              </w:rPr>
              <w:t>校级</w:t>
            </w:r>
            <w:r>
              <w:rPr>
                <w:rFonts w:hint="eastAsia" w:ascii="仿宋" w:hAnsi="仿宋" w:eastAsia="仿宋"/>
                <w:sz w:val="22"/>
                <w:szCs w:val="22"/>
              </w:rPr>
              <w:t>、</w:t>
            </w:r>
            <w:r>
              <w:rPr>
                <w:rFonts w:hint="eastAsia"/>
                <w:sz w:val="22"/>
                <w:szCs w:val="22"/>
              </w:rPr>
              <w:t>区级（上海）/地市级（外省市）、省市级</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0ACAC1CE">
            <w:pPr>
              <w:spacing w:line="360" w:lineRule="auto"/>
              <w:jc w:val="center"/>
              <w:rPr>
                <w:sz w:val="22"/>
                <w:szCs w:val="22"/>
              </w:rPr>
            </w:pPr>
            <w:r>
              <w:rPr>
                <w:sz w:val="22"/>
                <w:szCs w:val="22"/>
              </w:rPr>
              <w:t>0.5</w:t>
            </w:r>
          </w:p>
        </w:tc>
      </w:tr>
    </w:tbl>
    <w:p w14:paraId="019412DC">
      <w:pPr>
        <w:spacing w:line="360" w:lineRule="auto"/>
        <w:jc w:val="left"/>
        <w:rPr>
          <w:rFonts w:ascii="楷体" w:hAnsi="楷体" w:eastAsia="楷体"/>
          <w:bCs/>
          <w:sz w:val="24"/>
        </w:rPr>
      </w:pPr>
      <w:r>
        <w:rPr>
          <w:rFonts w:hint="eastAsia" w:ascii="楷体" w:hAnsi="楷体" w:eastAsia="楷体"/>
          <w:bCs/>
          <w:sz w:val="24"/>
        </w:rPr>
        <w:t>注：</w:t>
      </w:r>
    </w:p>
    <w:p w14:paraId="47180846">
      <w:pPr>
        <w:spacing w:line="360" w:lineRule="auto"/>
        <w:jc w:val="left"/>
        <w:rPr>
          <w:rFonts w:ascii="楷体" w:hAnsi="楷体" w:eastAsia="楷体"/>
          <w:bCs/>
          <w:sz w:val="24"/>
        </w:rPr>
      </w:pPr>
      <w:r>
        <w:rPr>
          <w:rFonts w:eastAsia="楷体"/>
          <w:bCs/>
          <w:sz w:val="24"/>
        </w:rPr>
        <w:t>1、</w:t>
      </w:r>
      <w:r>
        <w:rPr>
          <w:rFonts w:hint="eastAsia" w:ascii="楷体" w:hAnsi="楷体" w:eastAsia="楷体"/>
          <w:bCs/>
          <w:sz w:val="24"/>
        </w:rPr>
        <w:t>有多项志愿服务加分情形的，就高计一次，上限</w:t>
      </w:r>
      <w:r>
        <w:rPr>
          <w:rFonts w:eastAsia="楷体"/>
          <w:bCs/>
          <w:sz w:val="24"/>
        </w:rPr>
        <w:t>1</w:t>
      </w:r>
      <w:r>
        <w:rPr>
          <w:rFonts w:hint="eastAsia" w:ascii="楷体" w:hAnsi="楷体" w:eastAsia="楷体"/>
          <w:bCs/>
          <w:sz w:val="24"/>
        </w:rPr>
        <w:t xml:space="preserve">分。 </w:t>
      </w:r>
    </w:p>
    <w:p w14:paraId="2D1854BF">
      <w:pPr>
        <w:spacing w:line="360" w:lineRule="auto"/>
        <w:jc w:val="left"/>
        <w:rPr>
          <w:rFonts w:ascii="楷体" w:hAnsi="楷体" w:eastAsia="楷体"/>
          <w:bCs/>
          <w:sz w:val="24"/>
        </w:rPr>
      </w:pPr>
      <w:r>
        <w:rPr>
          <w:rFonts w:eastAsia="楷体"/>
          <w:bCs/>
          <w:sz w:val="24"/>
        </w:rPr>
        <w:t>2、</w:t>
      </w:r>
      <w:r>
        <w:rPr>
          <w:rFonts w:hint="eastAsia" w:ascii="楷体" w:hAnsi="楷体" w:eastAsia="楷体"/>
          <w:bCs/>
          <w:sz w:val="24"/>
        </w:rPr>
        <w:t>材料必须符合该种情况：</w:t>
      </w:r>
      <w:r>
        <w:rPr>
          <w:rFonts w:eastAsia="楷体"/>
          <w:bCs/>
          <w:sz w:val="24"/>
        </w:rPr>
        <w:t>202</w:t>
      </w:r>
      <w:r>
        <w:rPr>
          <w:rFonts w:hint="eastAsia" w:eastAsia="楷体"/>
          <w:bCs/>
          <w:sz w:val="24"/>
        </w:rPr>
        <w:t>2</w:t>
      </w:r>
      <w:r>
        <w:rPr>
          <w:rFonts w:eastAsia="楷体"/>
          <w:bCs/>
          <w:sz w:val="24"/>
        </w:rPr>
        <w:t>-202</w:t>
      </w:r>
      <w:r>
        <w:rPr>
          <w:rFonts w:hint="eastAsia" w:eastAsia="楷体"/>
          <w:bCs/>
          <w:sz w:val="24"/>
        </w:rPr>
        <w:t>5</w:t>
      </w:r>
      <w:r>
        <w:rPr>
          <w:rFonts w:hint="eastAsia" w:ascii="楷体" w:hAnsi="楷体" w:eastAsia="楷体"/>
          <w:bCs/>
          <w:sz w:val="24"/>
        </w:rPr>
        <w:t>年获得校级以上“优秀志愿者”荣誉称号（含年度综合评选、单项活动评选）。</w:t>
      </w:r>
      <w:r>
        <w:rPr>
          <w:rFonts w:ascii="楷体" w:hAnsi="楷体" w:eastAsia="楷体"/>
          <w:bCs/>
          <w:sz w:val="24"/>
        </w:rPr>
        <w:t xml:space="preserve"> </w:t>
      </w:r>
    </w:p>
    <w:p w14:paraId="64AA43FF">
      <w:pPr>
        <w:spacing w:line="360" w:lineRule="auto"/>
        <w:jc w:val="left"/>
        <w:rPr>
          <w:rFonts w:ascii="楷体" w:hAnsi="楷体" w:eastAsia="楷体"/>
          <w:bCs/>
          <w:sz w:val="24"/>
        </w:rPr>
      </w:pPr>
      <w:r>
        <w:rPr>
          <w:rFonts w:eastAsia="楷体"/>
          <w:bCs/>
          <w:sz w:val="24"/>
        </w:rPr>
        <w:t>3、</w:t>
      </w:r>
      <w:r>
        <w:rPr>
          <w:rFonts w:hint="eastAsia" w:ascii="楷体" w:hAnsi="楷体" w:eastAsia="楷体"/>
          <w:bCs/>
          <w:sz w:val="24"/>
        </w:rPr>
        <w:t xml:space="preserve">志愿服务加分审核由院系初审，并报校团委复核。 </w:t>
      </w:r>
    </w:p>
    <w:p w14:paraId="12F0443E">
      <w:pPr>
        <w:pStyle w:val="6"/>
        <w:spacing w:before="0" w:beforeAutospacing="0" w:after="0" w:afterAutospacing="0" w:line="360" w:lineRule="auto"/>
        <w:rPr>
          <w:rFonts w:ascii="Calibri" w:hAnsi="Calibri"/>
          <w:b/>
          <w:bCs/>
        </w:rPr>
      </w:pPr>
    </w:p>
    <w:p w14:paraId="78076113">
      <w:pPr>
        <w:spacing w:line="360" w:lineRule="auto"/>
        <w:jc w:val="left"/>
        <w:rPr>
          <w:b/>
          <w:bCs/>
          <w:sz w:val="24"/>
        </w:rPr>
      </w:pPr>
      <w:r>
        <w:rPr>
          <w:rFonts w:hint="eastAsia"/>
          <w:b/>
          <w:bCs/>
          <w:sz w:val="24"/>
        </w:rPr>
        <w:t>（六）国际组织实习</w:t>
      </w:r>
    </w:p>
    <w:tbl>
      <w:tblPr>
        <w:tblStyle w:val="8"/>
        <w:tblW w:w="7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8"/>
        <w:gridCol w:w="2852"/>
      </w:tblGrid>
      <w:tr w14:paraId="0A87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trPr>
        <w:tc>
          <w:tcPr>
            <w:tcW w:w="5098" w:type="dxa"/>
            <w:tcBorders>
              <w:top w:val="single" w:color="auto" w:sz="4" w:space="0"/>
              <w:left w:val="single" w:color="auto" w:sz="4" w:space="0"/>
              <w:bottom w:val="single" w:color="auto" w:sz="4" w:space="0"/>
              <w:right w:val="single" w:color="auto" w:sz="4" w:space="0"/>
            </w:tcBorders>
            <w:shd w:val="clear" w:color="auto" w:fill="auto"/>
            <w:vAlign w:val="center"/>
          </w:tcPr>
          <w:p w14:paraId="47723ADD">
            <w:pPr>
              <w:spacing w:line="360" w:lineRule="auto"/>
              <w:jc w:val="center"/>
              <w:rPr>
                <w:b/>
                <w:sz w:val="22"/>
                <w:szCs w:val="22"/>
              </w:rPr>
            </w:pPr>
            <w:r>
              <w:rPr>
                <w:rFonts w:hint="eastAsia"/>
                <w:b/>
                <w:sz w:val="22"/>
                <w:szCs w:val="22"/>
              </w:rPr>
              <w:t>项目名</w:t>
            </w:r>
          </w:p>
        </w:tc>
        <w:tc>
          <w:tcPr>
            <w:tcW w:w="2852" w:type="dxa"/>
            <w:tcBorders>
              <w:top w:val="single" w:color="auto" w:sz="4" w:space="0"/>
              <w:left w:val="single" w:color="auto" w:sz="4" w:space="0"/>
              <w:bottom w:val="single" w:color="auto" w:sz="4" w:space="0"/>
              <w:right w:val="single" w:color="auto" w:sz="4" w:space="0"/>
            </w:tcBorders>
            <w:shd w:val="clear" w:color="auto" w:fill="auto"/>
            <w:vAlign w:val="center"/>
          </w:tcPr>
          <w:p w14:paraId="576B7FB7">
            <w:pPr>
              <w:spacing w:line="360" w:lineRule="auto"/>
              <w:jc w:val="center"/>
              <w:rPr>
                <w:b/>
                <w:sz w:val="22"/>
                <w:szCs w:val="22"/>
              </w:rPr>
            </w:pPr>
            <w:r>
              <w:rPr>
                <w:rFonts w:hint="eastAsia"/>
                <w:b/>
                <w:sz w:val="22"/>
                <w:szCs w:val="22"/>
              </w:rPr>
              <w:t>加分分值</w:t>
            </w:r>
          </w:p>
        </w:tc>
      </w:tr>
      <w:tr w14:paraId="6272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098" w:type="dxa"/>
            <w:tcBorders>
              <w:top w:val="single" w:color="auto" w:sz="4" w:space="0"/>
              <w:left w:val="single" w:color="auto" w:sz="4" w:space="0"/>
              <w:bottom w:val="single" w:color="auto" w:sz="4" w:space="0"/>
              <w:right w:val="single" w:color="auto" w:sz="4" w:space="0"/>
            </w:tcBorders>
            <w:shd w:val="clear" w:color="auto" w:fill="auto"/>
            <w:vAlign w:val="center"/>
          </w:tcPr>
          <w:p w14:paraId="0ECB788F">
            <w:pPr>
              <w:spacing w:line="360" w:lineRule="auto"/>
              <w:jc w:val="center"/>
              <w:rPr>
                <w:rFonts w:ascii="宋体" w:hAnsi="宋体"/>
                <w:sz w:val="22"/>
                <w:szCs w:val="22"/>
              </w:rPr>
            </w:pPr>
            <w:r>
              <w:rPr>
                <w:rFonts w:hint="eastAsia" w:ascii="宋体" w:hAnsi="宋体"/>
                <w:color w:val="0D0D0D"/>
                <w:kern w:val="0"/>
                <w:sz w:val="22"/>
                <w:szCs w:val="22"/>
              </w:rPr>
              <w:t>主要政府间国际组织和具有重要影响力的非政府间国际组织实习</w:t>
            </w:r>
          </w:p>
        </w:tc>
        <w:tc>
          <w:tcPr>
            <w:tcW w:w="2852" w:type="dxa"/>
            <w:tcBorders>
              <w:top w:val="single" w:color="auto" w:sz="4" w:space="0"/>
              <w:left w:val="single" w:color="auto" w:sz="4" w:space="0"/>
              <w:bottom w:val="single" w:color="auto" w:sz="4" w:space="0"/>
              <w:right w:val="single" w:color="auto" w:sz="4" w:space="0"/>
            </w:tcBorders>
            <w:shd w:val="clear" w:color="auto" w:fill="auto"/>
            <w:vAlign w:val="center"/>
          </w:tcPr>
          <w:p w14:paraId="4D4D7FFA">
            <w:pPr>
              <w:spacing w:line="360" w:lineRule="auto"/>
              <w:jc w:val="center"/>
              <w:rPr>
                <w:rFonts w:ascii="宋体" w:hAnsi="宋体"/>
                <w:sz w:val="22"/>
                <w:szCs w:val="22"/>
              </w:rPr>
            </w:pPr>
            <w:r>
              <w:rPr>
                <w:sz w:val="22"/>
                <w:szCs w:val="22"/>
              </w:rPr>
              <w:t>1</w:t>
            </w:r>
          </w:p>
        </w:tc>
      </w:tr>
    </w:tbl>
    <w:p w14:paraId="77C73F47">
      <w:pPr>
        <w:spacing w:line="360" w:lineRule="auto"/>
        <w:jc w:val="left"/>
        <w:rPr>
          <w:rFonts w:ascii="楷体" w:hAnsi="楷体" w:eastAsia="楷体"/>
          <w:bCs/>
          <w:sz w:val="24"/>
        </w:rPr>
      </w:pPr>
      <w:r>
        <w:rPr>
          <w:rFonts w:hint="eastAsia" w:ascii="楷体" w:hAnsi="楷体" w:eastAsia="楷体"/>
          <w:bCs/>
          <w:sz w:val="24"/>
        </w:rPr>
        <w:t>注：</w:t>
      </w:r>
    </w:p>
    <w:p w14:paraId="42AFE1F0">
      <w:pPr>
        <w:spacing w:line="360" w:lineRule="auto"/>
        <w:jc w:val="left"/>
        <w:rPr>
          <w:rFonts w:ascii="楷体" w:hAnsi="楷体" w:eastAsia="楷体"/>
          <w:bCs/>
          <w:sz w:val="24"/>
        </w:rPr>
      </w:pPr>
      <w:r>
        <w:rPr>
          <w:rFonts w:eastAsia="楷体"/>
          <w:bCs/>
          <w:sz w:val="24"/>
        </w:rPr>
        <w:t>1、</w:t>
      </w:r>
      <w:r>
        <w:rPr>
          <w:rFonts w:hint="eastAsia" w:ascii="楷体" w:hAnsi="楷体" w:eastAsia="楷体"/>
          <w:bCs/>
          <w:sz w:val="24"/>
        </w:rPr>
        <w:t>实习机构参考</w:t>
      </w:r>
      <w:r>
        <w:rPr>
          <w:rFonts w:hint="eastAsia" w:ascii="楷体" w:hAnsi="楷体" w:eastAsia="楷体"/>
          <w:bCs/>
          <w:sz w:val="24"/>
          <w:highlight w:val="none"/>
        </w:rPr>
        <w:t>本科生院</w:t>
      </w:r>
      <w:r>
        <w:rPr>
          <w:rFonts w:hint="eastAsia" w:ascii="楷体" w:hAnsi="楷体" w:eastAsia="楷体"/>
          <w:bCs/>
          <w:sz w:val="24"/>
        </w:rPr>
        <w:t>发布国际组织清单，实习地点应为</w:t>
      </w:r>
      <w:bookmarkStart w:id="1" w:name="_Hlk70963275"/>
      <w:r>
        <w:rPr>
          <w:rFonts w:hint="eastAsia" w:ascii="楷体" w:hAnsi="楷体" w:eastAsia="楷体"/>
          <w:bCs/>
          <w:sz w:val="24"/>
        </w:rPr>
        <w:t>国际组织总部</w:t>
      </w:r>
      <w:bookmarkEnd w:id="1"/>
      <w:r>
        <w:rPr>
          <w:rFonts w:hint="eastAsia" w:ascii="楷体" w:hAnsi="楷体" w:eastAsia="楷体"/>
          <w:bCs/>
          <w:sz w:val="24"/>
        </w:rPr>
        <w:t>及在海外的总部外机构办事处。</w:t>
      </w:r>
    </w:p>
    <w:p w14:paraId="492C8EA7">
      <w:pPr>
        <w:spacing w:line="360" w:lineRule="auto"/>
        <w:jc w:val="left"/>
        <w:rPr>
          <w:rFonts w:ascii="楷体" w:hAnsi="楷体" w:eastAsia="楷体"/>
          <w:bCs/>
          <w:sz w:val="24"/>
        </w:rPr>
      </w:pPr>
      <w:r>
        <w:rPr>
          <w:rFonts w:eastAsia="楷体"/>
          <w:bCs/>
          <w:sz w:val="24"/>
        </w:rPr>
        <w:t>2、</w:t>
      </w:r>
      <w:r>
        <w:rPr>
          <w:rFonts w:hint="eastAsia" w:ascii="楷体" w:hAnsi="楷体" w:eastAsia="楷体"/>
          <w:bCs/>
          <w:sz w:val="24"/>
        </w:rPr>
        <w:t>实习前已在政治与国际关系学院备案，申请推免时应已完成不少于三个月的实习工作（以国际组织实习录用函、实习证明为准）。</w:t>
      </w:r>
    </w:p>
    <w:p w14:paraId="171DEC18">
      <w:pPr>
        <w:spacing w:line="360" w:lineRule="auto"/>
        <w:jc w:val="left"/>
        <w:rPr>
          <w:rFonts w:ascii="楷体" w:hAnsi="楷体" w:eastAsia="楷体"/>
          <w:bCs/>
          <w:sz w:val="24"/>
        </w:rPr>
      </w:pPr>
      <w:r>
        <w:rPr>
          <w:rFonts w:eastAsia="楷体"/>
          <w:bCs/>
          <w:sz w:val="24"/>
        </w:rPr>
        <w:t>3、</w:t>
      </w:r>
      <w:r>
        <w:rPr>
          <w:rFonts w:hint="eastAsia" w:ascii="楷体" w:hAnsi="楷体" w:eastAsia="楷体"/>
          <w:bCs/>
          <w:sz w:val="24"/>
        </w:rPr>
        <w:t>有多项国际组织实习（三个月及以上）经历的，就高计一次，上限</w:t>
      </w:r>
      <w:r>
        <w:rPr>
          <w:rFonts w:eastAsia="楷体"/>
          <w:bCs/>
          <w:sz w:val="24"/>
        </w:rPr>
        <w:t>1</w:t>
      </w:r>
      <w:r>
        <w:rPr>
          <w:rFonts w:hint="eastAsia" w:ascii="楷体" w:hAnsi="楷体" w:eastAsia="楷体"/>
          <w:bCs/>
          <w:sz w:val="24"/>
        </w:rPr>
        <w:t>分。</w:t>
      </w:r>
    </w:p>
    <w:p w14:paraId="5DA6B1EC">
      <w:pPr>
        <w:spacing w:line="360" w:lineRule="auto"/>
        <w:jc w:val="left"/>
        <w:rPr>
          <w:rFonts w:ascii="楷体" w:hAnsi="楷体" w:eastAsia="楷体"/>
          <w:bCs/>
          <w:color w:val="FF0000"/>
          <w:sz w:val="24"/>
        </w:rPr>
      </w:pPr>
      <w:r>
        <w:rPr>
          <w:rFonts w:hint="eastAsia" w:ascii="楷体" w:hAnsi="楷体" w:eastAsia="楷体"/>
          <w:bCs/>
          <w:sz w:val="24"/>
        </w:rPr>
        <w:t>4、国际组织实习加分审核由院系初审，并报校学工部选调生办公室复核。</w:t>
      </w:r>
    </w:p>
    <w:p w14:paraId="13339B18">
      <w:pPr>
        <w:spacing w:line="360" w:lineRule="auto"/>
        <w:jc w:val="left"/>
        <w:rPr>
          <w:sz w:val="24"/>
        </w:rPr>
      </w:pPr>
    </w:p>
    <w:p w14:paraId="6C7C9AC2">
      <w:pPr>
        <w:spacing w:line="360" w:lineRule="auto"/>
        <w:jc w:val="left"/>
        <w:rPr>
          <w:b/>
          <w:bCs/>
          <w:sz w:val="24"/>
        </w:rPr>
      </w:pPr>
      <w:r>
        <w:rPr>
          <w:rFonts w:hint="eastAsia"/>
          <w:b/>
          <w:bCs/>
          <w:sz w:val="24"/>
        </w:rPr>
        <w:t>（七）相关要求</w:t>
      </w:r>
    </w:p>
    <w:p w14:paraId="28300C33">
      <w:pPr>
        <w:spacing w:line="360" w:lineRule="auto"/>
        <w:jc w:val="left"/>
        <w:rPr>
          <w:rFonts w:ascii="楷体" w:hAnsi="楷体" w:eastAsia="楷体"/>
          <w:bCs/>
          <w:sz w:val="24"/>
        </w:rPr>
      </w:pPr>
      <w:r>
        <w:rPr>
          <w:sz w:val="24"/>
        </w:rPr>
        <w:t>1</w:t>
      </w:r>
      <w:r>
        <w:rPr>
          <w:rFonts w:eastAsia="楷体"/>
          <w:bCs/>
          <w:sz w:val="24"/>
        </w:rPr>
        <w:t>、</w:t>
      </w:r>
      <w:r>
        <w:rPr>
          <w:rFonts w:hint="eastAsia" w:ascii="楷体" w:hAnsi="楷体" w:eastAsia="楷体"/>
          <w:bCs/>
          <w:sz w:val="24"/>
        </w:rPr>
        <w:t>科研成果、学科竞赛获奖、创新创业、著作译著等学术科研创新类素质加分项目需提交相关材料，学科竞赛、双创竞赛活动的主力成员不超过</w:t>
      </w:r>
      <w:r>
        <w:rPr>
          <w:rFonts w:eastAsia="楷体"/>
          <w:bCs/>
          <w:sz w:val="24"/>
        </w:rPr>
        <w:t>5</w:t>
      </w:r>
      <w:r>
        <w:rPr>
          <w:rFonts w:hint="eastAsia" w:ascii="楷体" w:hAnsi="楷体" w:eastAsia="楷体"/>
          <w:bCs/>
          <w:sz w:val="24"/>
        </w:rPr>
        <w:t xml:space="preserve">人（研究生计入），需由共同参与人提交排名和贡献证据。 </w:t>
      </w:r>
    </w:p>
    <w:p w14:paraId="0625C86C">
      <w:pPr>
        <w:spacing w:line="360" w:lineRule="auto"/>
        <w:jc w:val="left"/>
        <w:rPr>
          <w:rFonts w:ascii="楷体" w:hAnsi="楷体" w:eastAsia="楷体"/>
          <w:bCs/>
          <w:sz w:val="24"/>
        </w:rPr>
      </w:pPr>
      <w:r>
        <w:rPr>
          <w:rFonts w:eastAsia="楷体"/>
          <w:bCs/>
          <w:sz w:val="24"/>
        </w:rPr>
        <w:t>2、</w:t>
      </w:r>
      <w:r>
        <w:rPr>
          <w:rFonts w:hint="eastAsia" w:ascii="楷体" w:hAnsi="楷体" w:eastAsia="楷体"/>
          <w:bCs/>
          <w:sz w:val="24"/>
        </w:rPr>
        <w:t>同一(或相似度大于</w:t>
      </w:r>
      <w:r>
        <w:rPr>
          <w:rFonts w:eastAsia="楷体"/>
          <w:bCs/>
          <w:sz w:val="24"/>
        </w:rPr>
        <w:t>60%</w:t>
      </w:r>
      <w:r>
        <w:rPr>
          <w:rFonts w:hint="eastAsia" w:ascii="楷体" w:hAnsi="楷体" w:eastAsia="楷体"/>
          <w:bCs/>
          <w:sz w:val="24"/>
        </w:rPr>
        <w:t>的)学术科研创新成果在不同素质加分项中发表、获奖或通过验收的，原则上不累计加分，就高计一次。课题或项目成果发表成文章经学术专长专家审核小组审核，确定是否能在科研成果项加分。</w:t>
      </w:r>
    </w:p>
    <w:p w14:paraId="0A625A94">
      <w:pPr>
        <w:spacing w:line="360" w:lineRule="auto"/>
        <w:jc w:val="left"/>
        <w:rPr>
          <w:rFonts w:ascii="楷体" w:hAnsi="楷体" w:eastAsia="楷体"/>
          <w:bCs/>
          <w:sz w:val="24"/>
        </w:rPr>
      </w:pPr>
      <w:r>
        <w:rPr>
          <w:rFonts w:eastAsia="楷体"/>
          <w:bCs/>
          <w:sz w:val="24"/>
        </w:rPr>
        <w:t>3、</w:t>
      </w:r>
      <w:r>
        <w:rPr>
          <w:rFonts w:hint="eastAsia" w:ascii="楷体" w:hAnsi="楷体" w:eastAsia="楷体"/>
          <w:bCs/>
          <w:sz w:val="24"/>
        </w:rPr>
        <w:t>与直系亲属合作的不纳入加分，同等条件下可优先考虑。</w:t>
      </w:r>
    </w:p>
    <w:p w14:paraId="238F2DBE">
      <w:pPr>
        <w:spacing w:line="360" w:lineRule="auto"/>
        <w:jc w:val="left"/>
        <w:rPr>
          <w:rFonts w:ascii="楷体" w:hAnsi="楷体" w:eastAsia="楷体"/>
          <w:bCs/>
          <w:sz w:val="24"/>
        </w:rPr>
      </w:pPr>
      <w:r>
        <w:rPr>
          <w:rFonts w:eastAsia="楷体"/>
          <w:bCs/>
          <w:sz w:val="24"/>
        </w:rPr>
        <w:t>4、</w:t>
      </w:r>
      <w:r>
        <w:rPr>
          <w:rFonts w:hint="eastAsia" w:ascii="楷体" w:hAnsi="楷体" w:eastAsia="楷体"/>
          <w:bCs/>
          <w:sz w:val="24"/>
        </w:rPr>
        <w:t xml:space="preserve">加分项在院系学术专长推免专家审核小组初步审核、鉴定过程中存在争议的，由院推免工作小组上报校推免工作领导小组商处。 </w:t>
      </w:r>
    </w:p>
    <w:p w14:paraId="457B9923">
      <w:pPr>
        <w:spacing w:line="360" w:lineRule="auto"/>
        <w:jc w:val="left"/>
        <w:rPr>
          <w:b/>
          <w:bCs/>
          <w:sz w:val="24"/>
        </w:rPr>
      </w:pPr>
    </w:p>
    <w:p w14:paraId="41106168">
      <w:pPr>
        <w:spacing w:line="360" w:lineRule="auto"/>
        <w:jc w:val="left"/>
        <w:rPr>
          <w:b/>
          <w:bCs/>
          <w:sz w:val="24"/>
        </w:rPr>
      </w:pPr>
      <w:r>
        <w:rPr>
          <w:rFonts w:hint="eastAsia"/>
          <w:b/>
          <w:bCs/>
          <w:sz w:val="24"/>
        </w:rPr>
        <w:t>二、学校</w:t>
      </w:r>
      <w:r>
        <w:rPr>
          <w:b/>
          <w:bCs/>
          <w:sz w:val="24"/>
        </w:rPr>
        <w:t>素质类加分项</w:t>
      </w:r>
    </w:p>
    <w:p w14:paraId="3FA401D1">
      <w:pPr>
        <w:spacing w:line="360" w:lineRule="auto"/>
        <w:jc w:val="left"/>
        <w:rPr>
          <w:b/>
          <w:bCs/>
          <w:sz w:val="24"/>
        </w:rPr>
      </w:pPr>
      <w:r>
        <w:rPr>
          <w:rFonts w:hint="eastAsia"/>
          <w:b/>
          <w:bCs/>
          <w:sz w:val="24"/>
        </w:rPr>
        <w:t>（一）参军入伍服兵役。</w:t>
      </w:r>
    </w:p>
    <w:p w14:paraId="292D2655">
      <w:pPr>
        <w:autoSpaceDE w:val="0"/>
        <w:autoSpaceDN w:val="0"/>
        <w:adjustRightInd w:val="0"/>
        <w:spacing w:line="360" w:lineRule="auto"/>
        <w:ind w:firstLine="480" w:firstLineChars="200"/>
        <w:rPr>
          <w:rFonts w:ascii="宋体" w:hAnsi="宋体"/>
          <w:color w:val="0D0D0D"/>
          <w:kern w:val="0"/>
          <w:sz w:val="24"/>
          <w:szCs w:val="32"/>
        </w:rPr>
      </w:pPr>
      <w:r>
        <w:rPr>
          <w:rFonts w:hint="eastAsia" w:ascii="宋体" w:hAnsi="宋体"/>
          <w:color w:val="0D0D0D"/>
          <w:kern w:val="0"/>
          <w:sz w:val="24"/>
          <w:szCs w:val="32"/>
        </w:rPr>
        <w:t>经学校相关职能部门审核，本科阶段应征入伍，服役期间各方面表现良好，未受任何处分，圆满履行兵役义务者，由校推免工作领导小组每年根据实际情况确定该项素质加分，下达至相关院系，直接计入综合成绩。</w:t>
      </w:r>
    </w:p>
    <w:p w14:paraId="342D1DD9">
      <w:pPr>
        <w:spacing w:line="360" w:lineRule="auto"/>
        <w:jc w:val="left"/>
        <w:rPr>
          <w:b/>
          <w:bCs/>
          <w:sz w:val="24"/>
        </w:rPr>
      </w:pPr>
      <w:r>
        <w:rPr>
          <w:rFonts w:hint="eastAsia"/>
          <w:b/>
          <w:bCs/>
          <w:sz w:val="24"/>
        </w:rPr>
        <w:t>（二）艺术素养。</w:t>
      </w:r>
    </w:p>
    <w:p w14:paraId="3678A1E2">
      <w:pPr>
        <w:autoSpaceDE w:val="0"/>
        <w:autoSpaceDN w:val="0"/>
        <w:adjustRightInd w:val="0"/>
        <w:spacing w:line="360" w:lineRule="auto"/>
        <w:ind w:firstLine="480" w:firstLineChars="200"/>
        <w:rPr>
          <w:rFonts w:ascii="宋体" w:hAnsi="宋体"/>
          <w:color w:val="0D0D0D"/>
          <w:kern w:val="0"/>
          <w:sz w:val="24"/>
          <w:szCs w:val="32"/>
        </w:rPr>
      </w:pPr>
      <w:r>
        <w:rPr>
          <w:rFonts w:hint="eastAsia" w:ascii="宋体" w:hAnsi="宋体"/>
          <w:color w:val="0D0D0D"/>
          <w:kern w:val="0"/>
          <w:sz w:val="24"/>
          <w:szCs w:val="32"/>
        </w:rPr>
        <w:t>学生本科阶段积极参加学校艺术团训练</w:t>
      </w:r>
      <w:r>
        <w:rPr>
          <w:rFonts w:ascii="宋体" w:hAnsi="宋体"/>
          <w:color w:val="0D0D0D"/>
          <w:kern w:val="0"/>
          <w:sz w:val="24"/>
          <w:szCs w:val="32"/>
        </w:rPr>
        <w:t>，并在大型活动或比赛中做出突出贡献的，由</w:t>
      </w:r>
      <w:r>
        <w:rPr>
          <w:rFonts w:hint="eastAsia" w:ascii="宋体" w:hAnsi="宋体"/>
          <w:color w:val="0D0D0D"/>
          <w:kern w:val="0"/>
          <w:sz w:val="24"/>
          <w:szCs w:val="32"/>
        </w:rPr>
        <w:t>学校相关职能部门</w:t>
      </w:r>
      <w:r>
        <w:rPr>
          <w:rFonts w:ascii="宋体" w:hAnsi="宋体"/>
          <w:color w:val="0D0D0D"/>
          <w:kern w:val="0"/>
          <w:sz w:val="24"/>
          <w:szCs w:val="32"/>
        </w:rPr>
        <w:t>审定，可推荐不超过</w:t>
      </w:r>
      <w:r>
        <w:rPr>
          <w:color w:val="0D0D0D"/>
          <w:kern w:val="0"/>
          <w:sz w:val="24"/>
          <w:szCs w:val="32"/>
        </w:rPr>
        <w:t>4</w:t>
      </w:r>
      <w:r>
        <w:rPr>
          <w:rFonts w:ascii="宋体" w:hAnsi="宋体"/>
          <w:color w:val="0D0D0D"/>
          <w:kern w:val="0"/>
          <w:sz w:val="24"/>
          <w:szCs w:val="32"/>
        </w:rPr>
        <w:t>人获得艺术素养加分</w:t>
      </w:r>
      <w:r>
        <w:rPr>
          <w:rFonts w:hint="eastAsia" w:ascii="宋体" w:hAnsi="宋体"/>
          <w:color w:val="0D0D0D"/>
          <w:kern w:val="0"/>
          <w:sz w:val="24"/>
          <w:szCs w:val="32"/>
        </w:rPr>
        <w:t>（上限原则上</w:t>
      </w:r>
      <w:r>
        <w:rPr>
          <w:rFonts w:ascii="宋体" w:hAnsi="宋体"/>
          <w:color w:val="0D0D0D"/>
          <w:kern w:val="0"/>
          <w:sz w:val="24"/>
          <w:szCs w:val="32"/>
        </w:rPr>
        <w:t>不超过</w:t>
      </w:r>
      <w:r>
        <w:rPr>
          <w:color w:val="0D0D0D"/>
          <w:kern w:val="0"/>
          <w:sz w:val="24"/>
          <w:szCs w:val="32"/>
        </w:rPr>
        <w:t>2</w:t>
      </w:r>
      <w:r>
        <w:rPr>
          <w:rFonts w:ascii="宋体" w:hAnsi="宋体"/>
          <w:color w:val="0D0D0D"/>
          <w:kern w:val="0"/>
          <w:sz w:val="24"/>
          <w:szCs w:val="32"/>
        </w:rPr>
        <w:t>分</w:t>
      </w:r>
      <w:r>
        <w:rPr>
          <w:rFonts w:hint="eastAsia" w:ascii="宋体" w:hAnsi="宋体"/>
          <w:color w:val="0D0D0D"/>
          <w:kern w:val="0"/>
          <w:sz w:val="24"/>
          <w:szCs w:val="32"/>
        </w:rPr>
        <w:t>，对于代表学校在全国性比赛中有突出比赛成绩的学生，学校相关职能部门可报校推免工作领导小组讨论，确定赋分分值），下达至相关院系，直接计入综合成绩</w:t>
      </w:r>
      <w:r>
        <w:rPr>
          <w:rFonts w:ascii="宋体" w:hAnsi="宋体"/>
          <w:color w:val="0D0D0D"/>
          <w:kern w:val="0"/>
          <w:sz w:val="24"/>
          <w:szCs w:val="32"/>
        </w:rPr>
        <w:t>。</w:t>
      </w:r>
    </w:p>
    <w:p w14:paraId="19019BEC">
      <w:pPr>
        <w:spacing w:line="360" w:lineRule="auto"/>
        <w:jc w:val="left"/>
        <w:rPr>
          <w:b/>
          <w:bCs/>
          <w:sz w:val="24"/>
        </w:rPr>
      </w:pPr>
    </w:p>
    <w:p w14:paraId="53647A32">
      <w:pPr>
        <w:spacing w:line="360" w:lineRule="auto"/>
        <w:jc w:val="left"/>
        <w:rPr>
          <w:b/>
          <w:bCs/>
          <w:sz w:val="24"/>
        </w:rPr>
      </w:pPr>
      <w:r>
        <w:rPr>
          <w:rFonts w:hint="eastAsia"/>
          <w:b/>
          <w:bCs/>
          <w:sz w:val="24"/>
        </w:rPr>
        <w:t>三</w:t>
      </w:r>
      <w:r>
        <w:rPr>
          <w:b/>
          <w:bCs/>
          <w:sz w:val="24"/>
        </w:rPr>
        <w:t>、素质类扣分项</w:t>
      </w:r>
    </w:p>
    <w:p w14:paraId="5255525C">
      <w:pPr>
        <w:spacing w:line="360" w:lineRule="auto"/>
        <w:ind w:firstLine="480" w:firstLineChars="200"/>
        <w:jc w:val="left"/>
        <w:rPr>
          <w:sz w:val="24"/>
        </w:rPr>
      </w:pPr>
      <w:r>
        <w:rPr>
          <w:rFonts w:hint="eastAsia"/>
          <w:sz w:val="24"/>
        </w:rPr>
        <w:t>根据</w:t>
      </w:r>
      <w:r>
        <w:rPr>
          <w:sz w:val="24"/>
        </w:rPr>
        <w:t>《</w:t>
      </w:r>
      <w:r>
        <w:rPr>
          <w:rFonts w:hint="eastAsia"/>
          <w:sz w:val="24"/>
        </w:rPr>
        <w:t>华东师范</w:t>
      </w:r>
      <w:r>
        <w:rPr>
          <w:sz w:val="24"/>
        </w:rPr>
        <w:t>大学学生违纪处分办法》</w:t>
      </w:r>
      <w:r>
        <w:rPr>
          <w:rFonts w:hint="eastAsia"/>
          <w:sz w:val="24"/>
        </w:rPr>
        <w:t>，</w:t>
      </w:r>
      <w:r>
        <w:rPr>
          <w:sz w:val="24"/>
        </w:rPr>
        <w:t>在校期间发生违纪行为并获处分者，按以下标准予以扣分</w:t>
      </w:r>
      <w:r>
        <w:rPr>
          <w:rFonts w:hint="eastAsia"/>
          <w:sz w:val="24"/>
        </w:rPr>
        <w:t>：</w:t>
      </w:r>
    </w:p>
    <w:tbl>
      <w:tblPr>
        <w:tblStyle w:val="8"/>
        <w:tblW w:w="39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1"/>
        <w:gridCol w:w="3253"/>
      </w:tblGrid>
      <w:tr w14:paraId="40AD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81" w:type="pct"/>
            <w:shd w:val="clear" w:color="auto" w:fill="auto"/>
            <w:vAlign w:val="center"/>
          </w:tcPr>
          <w:p w14:paraId="3B083033">
            <w:pPr>
              <w:spacing w:line="360" w:lineRule="auto"/>
              <w:jc w:val="center"/>
              <w:rPr>
                <w:b/>
                <w:sz w:val="22"/>
                <w:szCs w:val="22"/>
              </w:rPr>
            </w:pPr>
            <w:r>
              <w:rPr>
                <w:rFonts w:hint="eastAsia"/>
                <w:b/>
                <w:sz w:val="22"/>
                <w:szCs w:val="22"/>
              </w:rPr>
              <w:t>违纪</w:t>
            </w:r>
            <w:r>
              <w:rPr>
                <w:b/>
                <w:sz w:val="22"/>
                <w:szCs w:val="22"/>
              </w:rPr>
              <w:t>处分</w:t>
            </w:r>
          </w:p>
        </w:tc>
        <w:tc>
          <w:tcPr>
            <w:tcW w:w="2419" w:type="pct"/>
            <w:shd w:val="clear" w:color="auto" w:fill="auto"/>
            <w:vAlign w:val="center"/>
          </w:tcPr>
          <w:p w14:paraId="72034D4A">
            <w:pPr>
              <w:spacing w:line="360" w:lineRule="auto"/>
              <w:jc w:val="center"/>
              <w:rPr>
                <w:b/>
                <w:sz w:val="22"/>
                <w:szCs w:val="22"/>
              </w:rPr>
            </w:pPr>
            <w:r>
              <w:rPr>
                <w:rFonts w:hint="eastAsia"/>
                <w:b/>
                <w:sz w:val="22"/>
                <w:szCs w:val="22"/>
              </w:rPr>
              <w:t>扣分</w:t>
            </w:r>
            <w:r>
              <w:rPr>
                <w:b/>
                <w:sz w:val="22"/>
                <w:szCs w:val="22"/>
              </w:rPr>
              <w:t>分值</w:t>
            </w:r>
          </w:p>
        </w:tc>
      </w:tr>
      <w:tr w14:paraId="7CA4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81" w:type="pct"/>
            <w:shd w:val="clear" w:color="auto" w:fill="auto"/>
            <w:vAlign w:val="center"/>
          </w:tcPr>
          <w:p w14:paraId="449CCD0F">
            <w:pPr>
              <w:spacing w:line="360" w:lineRule="auto"/>
              <w:jc w:val="center"/>
              <w:rPr>
                <w:sz w:val="22"/>
                <w:szCs w:val="22"/>
              </w:rPr>
            </w:pPr>
            <w:r>
              <w:rPr>
                <w:rFonts w:hint="eastAsia"/>
                <w:sz w:val="22"/>
                <w:szCs w:val="22"/>
              </w:rPr>
              <w:t>警告</w:t>
            </w:r>
          </w:p>
        </w:tc>
        <w:tc>
          <w:tcPr>
            <w:tcW w:w="2419" w:type="pct"/>
            <w:shd w:val="clear" w:color="auto" w:fill="auto"/>
            <w:vAlign w:val="center"/>
          </w:tcPr>
          <w:p w14:paraId="20115470">
            <w:pPr>
              <w:spacing w:line="360" w:lineRule="auto"/>
              <w:jc w:val="center"/>
              <w:rPr>
                <w:sz w:val="22"/>
                <w:szCs w:val="22"/>
              </w:rPr>
            </w:pPr>
            <w:r>
              <w:rPr>
                <w:sz w:val="22"/>
                <w:szCs w:val="22"/>
              </w:rPr>
              <w:t>5</w:t>
            </w:r>
          </w:p>
        </w:tc>
      </w:tr>
      <w:tr w14:paraId="2722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81" w:type="pct"/>
            <w:shd w:val="clear" w:color="auto" w:fill="auto"/>
            <w:vAlign w:val="center"/>
          </w:tcPr>
          <w:p w14:paraId="0D0B963D">
            <w:pPr>
              <w:spacing w:line="360" w:lineRule="auto"/>
              <w:jc w:val="center"/>
              <w:rPr>
                <w:sz w:val="22"/>
                <w:szCs w:val="22"/>
              </w:rPr>
            </w:pPr>
            <w:r>
              <w:rPr>
                <w:rFonts w:hint="eastAsia"/>
                <w:sz w:val="22"/>
                <w:szCs w:val="22"/>
              </w:rPr>
              <w:t>严重警告</w:t>
            </w:r>
          </w:p>
        </w:tc>
        <w:tc>
          <w:tcPr>
            <w:tcW w:w="2419" w:type="pct"/>
            <w:shd w:val="clear" w:color="auto" w:fill="auto"/>
            <w:vAlign w:val="center"/>
          </w:tcPr>
          <w:p w14:paraId="1A4FCF30">
            <w:pPr>
              <w:spacing w:line="360" w:lineRule="auto"/>
              <w:jc w:val="center"/>
              <w:rPr>
                <w:sz w:val="22"/>
                <w:szCs w:val="22"/>
              </w:rPr>
            </w:pPr>
            <w:r>
              <w:rPr>
                <w:rFonts w:hint="eastAsia"/>
                <w:sz w:val="22"/>
                <w:szCs w:val="22"/>
              </w:rPr>
              <w:t>6</w:t>
            </w:r>
          </w:p>
        </w:tc>
      </w:tr>
      <w:tr w14:paraId="508C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81" w:type="pct"/>
            <w:shd w:val="clear" w:color="auto" w:fill="auto"/>
            <w:vAlign w:val="center"/>
          </w:tcPr>
          <w:p w14:paraId="12D2AE2C">
            <w:pPr>
              <w:spacing w:line="360" w:lineRule="auto"/>
              <w:jc w:val="center"/>
              <w:rPr>
                <w:sz w:val="22"/>
                <w:szCs w:val="22"/>
              </w:rPr>
            </w:pPr>
            <w:r>
              <w:rPr>
                <w:rFonts w:hint="eastAsia"/>
                <w:sz w:val="22"/>
                <w:szCs w:val="22"/>
              </w:rPr>
              <w:t>记过</w:t>
            </w:r>
          </w:p>
        </w:tc>
        <w:tc>
          <w:tcPr>
            <w:tcW w:w="2419" w:type="pct"/>
            <w:shd w:val="clear" w:color="auto" w:fill="auto"/>
            <w:vAlign w:val="center"/>
          </w:tcPr>
          <w:p w14:paraId="6571AD59">
            <w:pPr>
              <w:spacing w:line="360" w:lineRule="auto"/>
              <w:jc w:val="center"/>
              <w:rPr>
                <w:sz w:val="22"/>
                <w:szCs w:val="22"/>
              </w:rPr>
            </w:pPr>
            <w:r>
              <w:rPr>
                <w:rFonts w:hint="eastAsia"/>
                <w:sz w:val="22"/>
                <w:szCs w:val="22"/>
              </w:rPr>
              <w:t>8</w:t>
            </w:r>
          </w:p>
        </w:tc>
      </w:tr>
      <w:tr w14:paraId="4211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2581" w:type="pct"/>
            <w:shd w:val="clear" w:color="auto" w:fill="auto"/>
            <w:vAlign w:val="center"/>
          </w:tcPr>
          <w:p w14:paraId="35FEAF01">
            <w:pPr>
              <w:spacing w:line="360" w:lineRule="auto"/>
              <w:jc w:val="center"/>
              <w:rPr>
                <w:sz w:val="22"/>
                <w:szCs w:val="22"/>
              </w:rPr>
            </w:pPr>
            <w:r>
              <w:rPr>
                <w:rFonts w:hint="eastAsia"/>
                <w:sz w:val="22"/>
                <w:szCs w:val="22"/>
              </w:rPr>
              <w:t>留校察看</w:t>
            </w:r>
          </w:p>
        </w:tc>
        <w:tc>
          <w:tcPr>
            <w:tcW w:w="2419" w:type="pct"/>
            <w:shd w:val="clear" w:color="auto" w:fill="auto"/>
            <w:vAlign w:val="center"/>
          </w:tcPr>
          <w:p w14:paraId="7289B80F">
            <w:pPr>
              <w:spacing w:line="360" w:lineRule="auto"/>
              <w:jc w:val="center"/>
              <w:rPr>
                <w:sz w:val="22"/>
                <w:szCs w:val="22"/>
              </w:rPr>
            </w:pPr>
            <w:r>
              <w:rPr>
                <w:rFonts w:hint="eastAsia"/>
                <w:sz w:val="22"/>
                <w:szCs w:val="22"/>
              </w:rPr>
              <w:t>10</w:t>
            </w:r>
          </w:p>
        </w:tc>
      </w:tr>
    </w:tbl>
    <w:p w14:paraId="3AB863CA">
      <w:pPr>
        <w:spacing w:line="360" w:lineRule="auto"/>
        <w:jc w:val="left"/>
        <w:rPr>
          <w:rFonts w:ascii="楷体" w:hAnsi="楷体" w:eastAsia="楷体"/>
          <w:bCs/>
          <w:sz w:val="24"/>
        </w:rPr>
      </w:pPr>
      <w:r>
        <w:rPr>
          <w:rFonts w:ascii="楷体" w:hAnsi="楷体" w:eastAsia="楷体"/>
          <w:bCs/>
          <w:sz w:val="24"/>
        </w:rPr>
        <w:t>注：</w:t>
      </w:r>
    </w:p>
    <w:p w14:paraId="2536AFFE">
      <w:pPr>
        <w:spacing w:line="360" w:lineRule="auto"/>
        <w:jc w:val="left"/>
        <w:rPr>
          <w:rFonts w:ascii="楷体" w:hAnsi="楷体" w:eastAsia="楷体"/>
          <w:bCs/>
          <w:sz w:val="24"/>
        </w:rPr>
      </w:pPr>
      <w:r>
        <w:rPr>
          <w:rFonts w:eastAsia="楷体"/>
          <w:bCs/>
          <w:sz w:val="24"/>
        </w:rPr>
        <w:t>1、</w:t>
      </w:r>
      <w:r>
        <w:rPr>
          <w:rFonts w:ascii="楷体" w:hAnsi="楷体" w:eastAsia="楷体"/>
          <w:bCs/>
          <w:sz w:val="24"/>
        </w:rPr>
        <w:t>扣分以单次行为计算，多次及多种情况发生可叠加</w:t>
      </w:r>
      <w:r>
        <w:rPr>
          <w:rFonts w:hint="eastAsia" w:ascii="楷体" w:hAnsi="楷体" w:eastAsia="楷体"/>
          <w:bCs/>
          <w:sz w:val="24"/>
        </w:rPr>
        <w:t>。</w:t>
      </w:r>
    </w:p>
    <w:p w14:paraId="2F978490">
      <w:pPr>
        <w:spacing w:line="360" w:lineRule="auto"/>
        <w:jc w:val="left"/>
        <w:rPr>
          <w:rFonts w:ascii="楷体" w:hAnsi="楷体" w:eastAsia="楷体"/>
          <w:bCs/>
          <w:sz w:val="24"/>
        </w:rPr>
      </w:pPr>
      <w:r>
        <w:rPr>
          <w:rFonts w:eastAsia="楷体"/>
          <w:bCs/>
          <w:sz w:val="24"/>
        </w:rPr>
        <w:t>2、</w:t>
      </w:r>
      <w:r>
        <w:rPr>
          <w:rFonts w:hint="eastAsia" w:ascii="楷体" w:hAnsi="楷体" w:eastAsia="楷体"/>
          <w:bCs/>
          <w:sz w:val="24"/>
        </w:rPr>
        <w:t xml:space="preserve">不作折算，按绝对分扣分。 </w:t>
      </w:r>
    </w:p>
    <w:p w14:paraId="48F06695">
      <w:pPr>
        <w:spacing w:line="360" w:lineRule="auto"/>
        <w:jc w:val="left"/>
        <w:rPr>
          <w:b/>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0FC53">
    <w:pPr>
      <w:pStyle w:val="4"/>
    </w:pPr>
  </w:p>
  <w:p w14:paraId="7833C332">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jRkNzZjZDliZThkMzUzMjk4YTBkZmM3Y2EzMTVkM2IifQ=="/>
  </w:docVars>
  <w:rsids>
    <w:rsidRoot w:val="00A825C8"/>
    <w:rsid w:val="00003EE0"/>
    <w:rsid w:val="00006665"/>
    <w:rsid w:val="000130D0"/>
    <w:rsid w:val="00024A33"/>
    <w:rsid w:val="000519CF"/>
    <w:rsid w:val="000904FB"/>
    <w:rsid w:val="000B4696"/>
    <w:rsid w:val="000F4A78"/>
    <w:rsid w:val="0010656A"/>
    <w:rsid w:val="001410FA"/>
    <w:rsid w:val="00154094"/>
    <w:rsid w:val="0019476C"/>
    <w:rsid w:val="0019775A"/>
    <w:rsid w:val="00217EF1"/>
    <w:rsid w:val="00220A4E"/>
    <w:rsid w:val="00240366"/>
    <w:rsid w:val="00263909"/>
    <w:rsid w:val="00286254"/>
    <w:rsid w:val="00296EB7"/>
    <w:rsid w:val="002A2F48"/>
    <w:rsid w:val="002B6DD1"/>
    <w:rsid w:val="002E0DE9"/>
    <w:rsid w:val="002F3B94"/>
    <w:rsid w:val="003240A9"/>
    <w:rsid w:val="00336F72"/>
    <w:rsid w:val="003515FF"/>
    <w:rsid w:val="003547EC"/>
    <w:rsid w:val="00363F12"/>
    <w:rsid w:val="0037127B"/>
    <w:rsid w:val="0041226D"/>
    <w:rsid w:val="00455F95"/>
    <w:rsid w:val="004703AF"/>
    <w:rsid w:val="00493FFD"/>
    <w:rsid w:val="004B1C58"/>
    <w:rsid w:val="004C5631"/>
    <w:rsid w:val="004D1B0E"/>
    <w:rsid w:val="004D607D"/>
    <w:rsid w:val="004D6951"/>
    <w:rsid w:val="00576275"/>
    <w:rsid w:val="005921ED"/>
    <w:rsid w:val="005F26B6"/>
    <w:rsid w:val="00614D83"/>
    <w:rsid w:val="00630DF8"/>
    <w:rsid w:val="00654B3C"/>
    <w:rsid w:val="00682A14"/>
    <w:rsid w:val="00691CDE"/>
    <w:rsid w:val="006D2FB0"/>
    <w:rsid w:val="006E36B2"/>
    <w:rsid w:val="006F3577"/>
    <w:rsid w:val="00711104"/>
    <w:rsid w:val="00715A1A"/>
    <w:rsid w:val="007246DA"/>
    <w:rsid w:val="00755208"/>
    <w:rsid w:val="00795BE1"/>
    <w:rsid w:val="007D4F47"/>
    <w:rsid w:val="007F0885"/>
    <w:rsid w:val="008048A7"/>
    <w:rsid w:val="00810273"/>
    <w:rsid w:val="00846490"/>
    <w:rsid w:val="0085120D"/>
    <w:rsid w:val="00852936"/>
    <w:rsid w:val="00861677"/>
    <w:rsid w:val="00883692"/>
    <w:rsid w:val="00897A42"/>
    <w:rsid w:val="008A055A"/>
    <w:rsid w:val="008F48E3"/>
    <w:rsid w:val="009568B2"/>
    <w:rsid w:val="00974134"/>
    <w:rsid w:val="00980417"/>
    <w:rsid w:val="00994856"/>
    <w:rsid w:val="00995368"/>
    <w:rsid w:val="009A03B0"/>
    <w:rsid w:val="009A2AE4"/>
    <w:rsid w:val="009B03BB"/>
    <w:rsid w:val="009C1AA6"/>
    <w:rsid w:val="009C79EE"/>
    <w:rsid w:val="00A11118"/>
    <w:rsid w:val="00A55E20"/>
    <w:rsid w:val="00A6627C"/>
    <w:rsid w:val="00A7560D"/>
    <w:rsid w:val="00A825C8"/>
    <w:rsid w:val="00A97338"/>
    <w:rsid w:val="00AC36D6"/>
    <w:rsid w:val="00AF6FDE"/>
    <w:rsid w:val="00B01AD6"/>
    <w:rsid w:val="00B12EE6"/>
    <w:rsid w:val="00B64A7B"/>
    <w:rsid w:val="00B812EF"/>
    <w:rsid w:val="00BA33DF"/>
    <w:rsid w:val="00BB2E67"/>
    <w:rsid w:val="00BF076C"/>
    <w:rsid w:val="00C1559E"/>
    <w:rsid w:val="00C21DCD"/>
    <w:rsid w:val="00C225A5"/>
    <w:rsid w:val="00C67512"/>
    <w:rsid w:val="00CC5E5A"/>
    <w:rsid w:val="00D10081"/>
    <w:rsid w:val="00D645A3"/>
    <w:rsid w:val="00D91593"/>
    <w:rsid w:val="00DB6029"/>
    <w:rsid w:val="00DC74D7"/>
    <w:rsid w:val="00DD3762"/>
    <w:rsid w:val="00DE0C89"/>
    <w:rsid w:val="00DE3618"/>
    <w:rsid w:val="00E038D9"/>
    <w:rsid w:val="00E24F2C"/>
    <w:rsid w:val="00E81005"/>
    <w:rsid w:val="00E81ABB"/>
    <w:rsid w:val="00E82202"/>
    <w:rsid w:val="00E969FC"/>
    <w:rsid w:val="00EA1D66"/>
    <w:rsid w:val="00EB5577"/>
    <w:rsid w:val="00EC3AEC"/>
    <w:rsid w:val="00ED271B"/>
    <w:rsid w:val="00F14819"/>
    <w:rsid w:val="00F2441C"/>
    <w:rsid w:val="00F646F9"/>
    <w:rsid w:val="00F81FAF"/>
    <w:rsid w:val="00FA4256"/>
    <w:rsid w:val="00FE5FC9"/>
    <w:rsid w:val="014A2B98"/>
    <w:rsid w:val="01677A42"/>
    <w:rsid w:val="08DE57E5"/>
    <w:rsid w:val="0A9B2364"/>
    <w:rsid w:val="0DE5063F"/>
    <w:rsid w:val="0E26013E"/>
    <w:rsid w:val="112A4681"/>
    <w:rsid w:val="14841C53"/>
    <w:rsid w:val="150716BA"/>
    <w:rsid w:val="160A5A6A"/>
    <w:rsid w:val="188D2A8C"/>
    <w:rsid w:val="20AF05E1"/>
    <w:rsid w:val="2267217F"/>
    <w:rsid w:val="24A1165F"/>
    <w:rsid w:val="295D2D10"/>
    <w:rsid w:val="29850BB1"/>
    <w:rsid w:val="2C2D5DB7"/>
    <w:rsid w:val="2CA67154"/>
    <w:rsid w:val="2F2F1C60"/>
    <w:rsid w:val="31CA73A0"/>
    <w:rsid w:val="34223C78"/>
    <w:rsid w:val="3B473D8F"/>
    <w:rsid w:val="3C6606AE"/>
    <w:rsid w:val="3CB468CE"/>
    <w:rsid w:val="3D0B4212"/>
    <w:rsid w:val="419039C2"/>
    <w:rsid w:val="46340F2E"/>
    <w:rsid w:val="48AF1985"/>
    <w:rsid w:val="4A3052BE"/>
    <w:rsid w:val="4B935D79"/>
    <w:rsid w:val="4D1E32BC"/>
    <w:rsid w:val="519D1E85"/>
    <w:rsid w:val="540960E0"/>
    <w:rsid w:val="58973E32"/>
    <w:rsid w:val="60C12E7D"/>
    <w:rsid w:val="62363E1F"/>
    <w:rsid w:val="6E3F3734"/>
    <w:rsid w:val="6F7522F6"/>
    <w:rsid w:val="71B65ED7"/>
    <w:rsid w:val="73DC371E"/>
    <w:rsid w:val="75A95272"/>
    <w:rsid w:val="76C21B2F"/>
    <w:rsid w:val="7ABB0CFB"/>
    <w:rsid w:val="7BCB0187"/>
    <w:rsid w:val="7C2F4683"/>
    <w:rsid w:val="7EFB5ECC"/>
    <w:rsid w:val="7F100C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8"/>
    <w:semiHidden/>
    <w:unhideWhenUsed/>
    <w:qFormat/>
    <w:uiPriority w:val="99"/>
    <w:rPr>
      <w:rFonts w:ascii="宋体"/>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7"/>
    <w:semiHidden/>
    <w:unhideWhenUsed/>
    <w:qFormat/>
    <w:uiPriority w:val="99"/>
    <w:rPr>
      <w:b/>
      <w:bCs/>
    </w:rPr>
  </w:style>
  <w:style w:type="character" w:styleId="10">
    <w:name w:val="Hyperlink"/>
    <w:basedOn w:val="9"/>
    <w:semiHidden/>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页脚 字符"/>
    <w:basedOn w:val="9"/>
    <w:semiHidden/>
    <w:qFormat/>
    <w:uiPriority w:val="99"/>
    <w:rPr>
      <w:rFonts w:ascii="Times New Roman" w:hAnsi="Times New Roman" w:eastAsia="宋体" w:cs="Times New Roman"/>
      <w:sz w:val="18"/>
      <w:szCs w:val="18"/>
    </w:rPr>
  </w:style>
  <w:style w:type="character" w:customStyle="1" w:styleId="13">
    <w:name w:val="页脚 字符1"/>
    <w:link w:val="4"/>
    <w:qFormat/>
    <w:uiPriority w:val="99"/>
    <w:rPr>
      <w:rFonts w:ascii="Times New Roman" w:hAnsi="Times New Roman" w:eastAsia="宋体" w:cs="Times New Roman"/>
      <w:sz w:val="18"/>
      <w:szCs w:val="18"/>
    </w:rPr>
  </w:style>
  <w:style w:type="character" w:customStyle="1" w:styleId="14">
    <w:name w:val="页眉 字符"/>
    <w:basedOn w:val="9"/>
    <w:link w:val="5"/>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character" w:customStyle="1" w:styleId="16">
    <w:name w:val="批注文字 字符"/>
    <w:basedOn w:val="9"/>
    <w:link w:val="2"/>
    <w:qFormat/>
    <w:uiPriority w:val="99"/>
    <w:rPr>
      <w:rFonts w:ascii="Times New Roman" w:hAnsi="Times New Roman" w:eastAsia="宋体" w:cs="Times New Roman"/>
      <w:szCs w:val="24"/>
    </w:rPr>
  </w:style>
  <w:style w:type="character" w:customStyle="1" w:styleId="17">
    <w:name w:val="批注主题 字符"/>
    <w:basedOn w:val="16"/>
    <w:link w:val="7"/>
    <w:semiHidden/>
    <w:qFormat/>
    <w:uiPriority w:val="99"/>
    <w:rPr>
      <w:rFonts w:ascii="Times New Roman" w:hAnsi="Times New Roman" w:eastAsia="宋体" w:cs="Times New Roman"/>
      <w:b/>
      <w:bCs/>
      <w:szCs w:val="24"/>
    </w:rPr>
  </w:style>
  <w:style w:type="character" w:customStyle="1" w:styleId="18">
    <w:name w:val="批注框文本 字符"/>
    <w:basedOn w:val="9"/>
    <w:link w:val="3"/>
    <w:semiHidden/>
    <w:qFormat/>
    <w:uiPriority w:val="99"/>
    <w:rPr>
      <w:rFonts w:ascii="宋体" w:hAnsi="Times New Roman" w:eastAsia="宋体" w:cs="Times New Roman"/>
      <w:sz w:val="18"/>
      <w:szCs w:val="18"/>
    </w:rPr>
  </w:style>
  <w:style w:type="paragraph" w:customStyle="1" w:styleId="1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42903-C582-4669-A457-2D1C592F7FCE}">
  <ds:schemaRefs/>
</ds:datastoreItem>
</file>

<file path=docProps/app.xml><?xml version="1.0" encoding="utf-8"?>
<Properties xmlns="http://schemas.openxmlformats.org/officeDocument/2006/extended-properties" xmlns:vt="http://schemas.openxmlformats.org/officeDocument/2006/docPropsVTypes">
  <Template>Normal</Template>
  <Pages>5</Pages>
  <Words>2119</Words>
  <Characters>2174</Characters>
  <Lines>17</Lines>
  <Paragraphs>4</Paragraphs>
  <TotalTime>11</TotalTime>
  <ScaleCrop>false</ScaleCrop>
  <LinksUpToDate>false</LinksUpToDate>
  <CharactersWithSpaces>2185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2020-09-23T03:01:00Z</dcterms:created>
  <dc:creator>Jonas</dc:creator>
  <cp:lastModifiedBy>华丽</cp:lastModifiedBy>
  <cp:lastPrinted>2021-06-18T02:26:00Z</cp:lastPrinted>
  <dcterms:modified xsi:type="dcterms:W3CDTF">2025-07-08T06:36:44Z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BBF0DE097A8F46A9A6EF961CD88EC1BD</vt:lpwstr>
  </property>
  <property fmtid="{D5CDD505-2E9C-101B-9397-08002B2CF9AE}" pid="4" name="KSOTemplateDocerSaveRecord">
    <vt:lpwstr>eyJoZGlkIjoiMjRkNzZjZDliZThkMzUzMjk4YTBkZmM3Y2EzMTVkM2IiLCJ1c2VySWQiOiI1OTk0NjU4MjgifQ==</vt:lpwstr>
  </property>
</Properties>
</file>